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(millions)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</w:tr>
      <w:tr>
        <w:tc>
          <w:tcPr>
            <w:tcW w:type="dxa" w:w="2160"/>
          </w:tcPr>
          <w:p>
            <w:r>
              <w:t>Current Identifiable Assets Metals service centers</w:t>
            </w:r>
          </w:p>
        </w:tc>
        <w:tc>
          <w:tcPr>
            <w:tcW w:type="dxa" w:w="2160"/>
          </w:tcPr>
          <w:p>
            <w:r>
              <w:t>$ 906.1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$ 1,007.2</w:t>
            </w:r>
          </w:p>
        </w:tc>
      </w:tr>
      <w:tr>
        <w:tc>
          <w:tcPr>
            <w:tcW w:type="dxa" w:w="2160"/>
          </w:tcPr>
          <w:p>
            <w:r>
              <w:t>Energy field stores</w:t>
            </w:r>
          </w:p>
        </w:tc>
        <w:tc>
          <w:tcPr>
            <w:tcW w:type="dxa" w:w="2160"/>
          </w:tcPr>
          <w:p>
            <w:r>
              <w:t>366.8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256.1</w:t>
            </w:r>
          </w:p>
        </w:tc>
      </w:tr>
      <w:tr>
        <w:tc>
          <w:tcPr>
            <w:tcW w:type="dxa" w:w="2160"/>
          </w:tcPr>
          <w:p>
            <w:r>
              <w:t>Steel distributors</w:t>
            </w:r>
          </w:p>
        </w:tc>
        <w:tc>
          <w:tcPr>
            <w:tcW w:type="dxa" w:w="2160"/>
          </w:tcPr>
          <w:p>
            <w:r>
              <w:t>216.6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307.2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1,489.5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1,570.5</w:t>
            </w:r>
          </w:p>
        </w:tc>
      </w:tr>
      <w:tr>
        <w:tc>
          <w:tcPr>
            <w:tcW w:type="dxa" w:w="2160"/>
          </w:tcPr>
          <w:p>
            <w:r>
              <w:t>Non-Current Identifiable Assets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Metals service centers</w:t>
            </w:r>
          </w:p>
        </w:tc>
        <w:tc>
          <w:tcPr>
            <w:tcW w:type="dxa" w:w="2160"/>
          </w:tcPr>
          <w:p>
            <w:r>
              <w:t>409.1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393.8</w:t>
            </w:r>
          </w:p>
        </w:tc>
      </w:tr>
      <w:tr>
        <w:tc>
          <w:tcPr>
            <w:tcW w:type="dxa" w:w="2160"/>
          </w:tcPr>
          <w:p>
            <w:r>
              <w:t>Energy field stores</w:t>
            </w:r>
          </w:p>
        </w:tc>
        <w:tc>
          <w:tcPr>
            <w:tcW w:type="dxa" w:w="2160"/>
          </w:tcPr>
          <w:p>
            <w:r>
              <w:t>121.1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117.6</w:t>
            </w:r>
          </w:p>
        </w:tc>
      </w:tr>
      <w:tr>
        <w:tc>
          <w:tcPr>
            <w:tcW w:type="dxa" w:w="2160"/>
          </w:tcPr>
          <w:p>
            <w:r>
              <w:t>Steel distributors</w:t>
            </w:r>
          </w:p>
        </w:tc>
        <w:tc>
          <w:tcPr>
            <w:tcW w:type="dxa" w:w="2160"/>
          </w:tcPr>
          <w:p>
            <w:r>
              <w:t>11.3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8.1</w:t>
            </w:r>
          </w:p>
        </w:tc>
      </w:tr>
      <w:tr>
        <w:tc>
          <w:tcPr>
            <w:tcW w:type="dxa" w:w="2160"/>
          </w:tcPr>
          <w:p>
            <w:r>
              <w:t>Total identifiable assets included in segments</w:t>
            </w:r>
          </w:p>
        </w:tc>
        <w:tc>
          <w:tcPr>
            <w:tcW w:type="dxa" w:w="2160"/>
          </w:tcPr>
          <w:p>
            <w:r>
              <w:t>2,031.0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2,090.0</w:t>
            </w:r>
          </w:p>
        </w:tc>
      </w:tr>
      <w:tr>
        <w:tc>
          <w:tcPr>
            <w:tcW w:type="dxa" w:w="2160"/>
          </w:tcPr>
          <w:p>
            <w:r>
              <w:t>Assets Not Included in Segments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Cash and cash equivalents</w:t>
            </w:r>
          </w:p>
        </w:tc>
        <w:tc>
          <w:tcPr>
            <w:tcW w:type="dxa" w:w="2160"/>
          </w:tcPr>
          <w:p>
            <w:r>
              <w:t>363.0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133.1</w:t>
            </w:r>
          </w:p>
        </w:tc>
      </w:tr>
      <w:tr>
        <w:tc>
          <w:tcPr>
            <w:tcW w:type="dxa" w:w="2160"/>
          </w:tcPr>
          <w:p>
            <w:r>
              <w:t>Investment in joint venture</w:t>
            </w:r>
          </w:p>
        </w:tc>
        <w:tc>
          <w:tcPr>
            <w:tcW w:type="dxa" w:w="2160"/>
          </w:tcPr>
          <w:p>
            <w:r>
              <w:t>46.6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37.6</w:t>
            </w:r>
          </w:p>
        </w:tc>
      </w:tr>
      <w:tr>
        <w:tc>
          <w:tcPr>
            <w:tcW w:type="dxa" w:w="2160"/>
          </w:tcPr>
          <w:p>
            <w:r>
              <w:t>Income tax assets</w:t>
            </w:r>
          </w:p>
        </w:tc>
        <w:tc>
          <w:tcPr>
            <w:tcW w:type="dxa" w:w="2160"/>
          </w:tcPr>
          <w:p>
            <w:r>
              <w:t>17.5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17.6</w:t>
            </w:r>
          </w:p>
        </w:tc>
      </w:tr>
      <w:tr>
        <w:tc>
          <w:tcPr>
            <w:tcW w:type="dxa" w:w="2160"/>
          </w:tcPr>
          <w:p>
            <w:r>
              <w:t>Financial and other assets</w:t>
            </w:r>
          </w:p>
        </w:tc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5.0</w:t>
            </w:r>
          </w:p>
        </w:tc>
      </w:tr>
      <w:tr>
        <w:tc>
          <w:tcPr>
            <w:tcW w:type="dxa" w:w="2160"/>
          </w:tcPr>
          <w:p>
            <w:r>
              <w:t>Pension and benefits</w:t>
            </w:r>
          </w:p>
        </w:tc>
        <w:tc>
          <w:tcPr>
            <w:tcW w:type="dxa" w:w="2160"/>
          </w:tcPr>
          <w:p>
            <w:r>
              <w:t>42.0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29.5</w:t>
            </w:r>
          </w:p>
        </w:tc>
      </w:tr>
      <w:tr>
        <w:tc>
          <w:tcPr>
            <w:tcW w:type="dxa" w:w="2160"/>
          </w:tcPr>
          <w:p>
            <w:r>
              <w:t>Corporate and other operating assets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Total assets</w:t>
            </w:r>
          </w:p>
        </w:tc>
        <w:tc>
          <w:tcPr>
            <w:tcW w:type="dxa" w:w="2160"/>
          </w:tcPr>
          <w:p>
            <w:r>
              <w:t>$2,506.9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$2,314.5</w:t>
            </w:r>
          </w:p>
        </w:tc>
      </w:tr>
      <w:tr>
        <w:tc>
          <w:tcPr>
            <w:tcW w:type="dxa" w:w="2160"/>
          </w:tcPr>
          <w:p>
            <w:r>
              <w:t>Liabilities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Metals service centers</w:t>
            </w:r>
          </w:p>
        </w:tc>
        <w:tc>
          <w:tcPr>
            <w:tcW w:type="dxa" w:w="2160"/>
          </w:tcPr>
          <w:p>
            <w:r>
              <w:t>$ 352.6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$ 450.5</w:t>
            </w:r>
          </w:p>
        </w:tc>
      </w:tr>
      <w:tr>
        <w:tc>
          <w:tcPr>
            <w:tcW w:type="dxa" w:w="2160"/>
          </w:tcPr>
          <w:p>
            <w:r>
              <w:t>Energy field stores</w:t>
            </w:r>
          </w:p>
        </w:tc>
        <w:tc>
          <w:tcPr>
            <w:tcW w:type="dxa" w:w="2160"/>
          </w:tcPr>
          <w:p>
            <w:r>
              <w:t>166.7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115.4</w:t>
            </w:r>
          </w:p>
        </w:tc>
      </w:tr>
      <w:tr>
        <w:tc>
          <w:tcPr>
            <w:tcW w:type="dxa" w:w="2160"/>
          </w:tcPr>
          <w:p>
            <w:r>
              <w:t>Steel distributors</w:t>
            </w:r>
          </w:p>
        </w:tc>
        <w:tc>
          <w:tcPr>
            <w:tcW w:type="dxa" w:w="2160"/>
          </w:tcPr>
          <w:p>
            <w:r>
              <w:t>52.2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63.2</w:t>
            </w:r>
          </w:p>
        </w:tc>
      </w:tr>
      <w:tr>
        <w:tc>
          <w:tcPr>
            <w:tcW w:type="dxa" w:w="2160"/>
          </w:tcPr>
          <w:p>
            <w:r>
              <w:t>Liabilities by segment</w:t>
            </w:r>
          </w:p>
        </w:tc>
        <w:tc>
          <w:tcPr>
            <w:tcW w:type="dxa" w:w="2160"/>
          </w:tcPr>
          <w:p>
            <w:r>
              <w:t>571.5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629.1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Liabilities Not Included in Segments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Income taxes payable and deferred income tax liabilities</w:t>
            </w:r>
          </w:p>
        </w:tc>
        <w:tc>
          <w:tcPr>
            <w:tcW w:type="dxa" w:w="2160"/>
          </w:tcPr>
          <w:p>
            <w:r>
              <w:t>23.2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86.3</w:t>
            </w:r>
          </w:p>
        </w:tc>
      </w:tr>
      <w:tr>
        <w:tc>
          <w:tcPr>
            <w:tcW w:type="dxa" w:w="2160"/>
          </w:tcPr>
          <w:p>
            <w:r>
              <w:t>Long-term debt</w:t>
            </w:r>
          </w:p>
        </w:tc>
        <w:tc>
          <w:tcPr>
            <w:tcW w:type="dxa" w:w="2160"/>
          </w:tcPr>
          <w:p>
            <w:r>
              <w:t>296.0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294.8</w:t>
            </w:r>
          </w:p>
        </w:tc>
      </w:tr>
      <w:tr>
        <w:tc>
          <w:tcPr>
            <w:tcW w:type="dxa" w:w="2160"/>
          </w:tcPr>
          <w:p>
            <w:r>
              <w:t>Pension and benefits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3.4</w:t>
            </w:r>
          </w:p>
        </w:tc>
      </w:tr>
      <w:tr>
        <w:tc>
          <w:tcPr>
            <w:tcW w:type="dxa" w:w="2160"/>
          </w:tcPr>
          <w:p>
            <w:r>
              <w:t>Corporate and other liabilities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55.4</w:t>
            </w:r>
          </w:p>
        </w:tc>
        <w:tc>
          <w:tcPr>
            <w:tcW w:type="dxa" w:w="2160"/>
          </w:tcPr>
          <w:p>
            <w:r>
              <w:t>52.6</w:t>
            </w:r>
          </w:p>
        </w:tc>
      </w:tr>
      <w:tr>
        <w:tc>
          <w:tcPr>
            <w:tcW w:type="dxa" w:w="2160"/>
          </w:tcPr>
          <w:p>
            <w:r>
              <w:t>Total liabilities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947.6</w:t>
            </w:r>
          </w:p>
        </w:tc>
        <w:tc>
          <w:tcPr>
            <w:tcW w:type="dxa" w:w="2160"/>
          </w:tcPr>
          <w:p>
            <w:r>
              <w:t>$ 1,066.2</w:t>
            </w:r>
          </w:p>
        </w:tc>
      </w:tr>
      <w:tr>
        <w:tc>
          <w:tcPr>
            <w:tcW w:type="dxa" w:w="2160"/>
          </w:tcPr>
          <w:p>
            <w:r>
              <w:t>Results by geographic segment:.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b)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(millions)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</w:tr>
      <w:tr>
        <w:tc>
          <w:tcPr>
            <w:tcW w:type="dxa" w:w="2160"/>
          </w:tcPr>
          <w:p>
            <w:r>
              <w:t>Segment Revenues</w:t>
            </w:r>
          </w:p>
        </w:tc>
        <w:tc>
          <w:tcPr>
            <w:tcW w:type="dxa" w:w="2160"/>
          </w:tcPr>
          <w:p>
            <w:r>
              <w:t>$3,068.0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$2,692.5</w:t>
            </w:r>
          </w:p>
        </w:tc>
      </w:tr>
      <w:tr>
        <w:tc>
          <w:tcPr>
            <w:tcW w:type="dxa" w:w="2160"/>
          </w:tcPr>
          <w:p>
            <w:r>
              <w:t>Canada United States</w:t>
            </w:r>
          </w:p>
        </w:tc>
        <w:tc>
          <w:tcPr>
            <w:tcW w:type="dxa" w:w="2160"/>
          </w:tcPr>
          <w:p>
            <w:r>
              <w:t>1,989.2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1,505.4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$5,057.2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$4,197.9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Segment Operating Profits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338.4</w:t>
            </w:r>
          </w:p>
        </w:tc>
        <w:tc>
          <w:tcPr>
            <w:tcW w:type="dxa" w:w="2160"/>
          </w:tcPr>
          <w:p>
            <w:r>
              <w:t>$ 414.8</w:t>
            </w:r>
          </w:p>
        </w:tc>
      </w:tr>
      <w:tr>
        <w:tc>
          <w:tcPr>
            <w:tcW w:type="dxa" w:w="216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164.7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231.5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$ 503.1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$ 646.3</w:t>
            </w:r>
          </w:p>
        </w:tc>
      </w:tr>
      <w:tr>
        <w:tc>
          <w:tcPr>
            <w:tcW w:type="dxa" w:w="2160"/>
          </w:tcPr>
          <w:p>
            <w:r>
              <w:t>Identifiable Assets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$1,280.0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$1,345.6</w:t>
            </w:r>
          </w:p>
        </w:tc>
      </w:tr>
      <w:tr>
        <w:tc>
          <w:tcPr>
            <w:tcW w:type="dxa" w:w="216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751.0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744.4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$2,031.0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$2,090.0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