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Year ended December 31, 2020</w:t>
            </w:r>
          </w:p>
        </w:tc>
        <w:tc>
          <w:tcPr>
            <w:tcW w:type="dxa" w:w="1080"/>
          </w:tcPr>
          <w:p>
            <w:r>
              <w:t>Liquids Pipelines</w:t>
            </w:r>
          </w:p>
        </w:tc>
        <w:tc>
          <w:tcPr>
            <w:tcW w:type="dxa" w:w="1080"/>
          </w:tcPr>
          <w:p>
            <w:r>
              <w:t>Gas Transmission and Midstream</w:t>
            </w:r>
          </w:p>
        </w:tc>
        <w:tc>
          <w:tcPr>
            <w:tcW w:type="dxa" w:w="1080"/>
          </w:tcPr>
          <w:p>
            <w:r>
              <w:t>Gas Distribution and Storage</w:t>
            </w:r>
          </w:p>
        </w:tc>
        <w:tc>
          <w:tcPr>
            <w:tcW w:type="dxa" w:w="1080"/>
          </w:tcPr>
          <w:p>
            <w:r>
              <w:t>Renewable Power Generation</w:t>
            </w:r>
          </w:p>
        </w:tc>
        <w:tc>
          <w:tcPr>
            <w:tcW w:type="dxa" w:w="1080"/>
          </w:tcPr>
          <w:p>
            <w:r>
              <w:t>EnergyE Services</w:t>
            </w:r>
          </w:p>
        </w:tc>
        <w:tc>
          <w:tcPr>
            <w:tcW w:type="dxa" w:w="1080"/>
          </w:tcPr>
          <w:p>
            <w:r>
              <w:t>Eliminations and Other</w:t>
            </w:r>
          </w:p>
        </w:tc>
        <w:tc>
          <w:tcPr>
            <w:tcW w:type="dxa" w:w="1080"/>
          </w:tcPr>
          <w:p>
            <w:r>
              <w:t>Consolidated</w:t>
            </w:r>
          </w:p>
        </w:tc>
      </w:tr>
      <w:tr>
        <w:tc>
          <w:tcPr>
            <w:tcW w:type="dxa" w:w="1080"/>
          </w:tcPr>
          <w:p>
            <w:r>
              <w:t>(millions of Canadian dollars) Revenues (Note 4)</w:t>
            </w:r>
          </w:p>
        </w:tc>
        <w:tc>
          <w:tcPr>
            <w:tcW w:type="dxa" w:w="1080"/>
          </w:tcPr>
          <w:p>
            <w:r>
              <w:t>10,423</w:t>
            </w:r>
          </w:p>
        </w:tc>
        <w:tc>
          <w:tcPr>
            <w:tcW w:type="dxa" w:w="1080"/>
          </w:tcPr>
          <w:p>
            <w:r>
              <w:t>4,870</w:t>
            </w:r>
          </w:p>
        </w:tc>
        <w:tc>
          <w:tcPr>
            <w:tcW w:type="dxa" w:w="1080"/>
          </w:tcPr>
          <w:p>
            <w:r>
              <w:t>4,569</w:t>
            </w:r>
          </w:p>
        </w:tc>
        <w:tc>
          <w:tcPr>
            <w:tcW w:type="dxa" w:w="1080"/>
          </w:tcPr>
          <w:p>
            <w:r>
              <w:t>587</w:t>
            </w:r>
          </w:p>
        </w:tc>
        <w:tc>
          <w:tcPr>
            <w:tcW w:type="dxa" w:w="1080"/>
          </w:tcPr>
          <w:p>
            <w:r>
              <w:t>19,283</w:t>
            </w:r>
          </w:p>
        </w:tc>
        <w:tc>
          <w:tcPr>
            <w:tcW w:type="dxa" w:w="1080"/>
          </w:tcPr>
          <w:p>
            <w:r>
              <w:t>(645)</w:t>
            </w:r>
          </w:p>
        </w:tc>
        <w:tc>
          <w:tcPr>
            <w:tcW w:type="dxa" w:w="1080"/>
          </w:tcPr>
          <w:p>
            <w:r>
              <w:t>39,087</w:t>
            </w:r>
          </w:p>
        </w:tc>
      </w:tr>
      <w:tr>
        <w:tc>
          <w:tcPr>
            <w:tcW w:type="dxa" w:w="1080"/>
          </w:tcPr>
          <w:p>
            <w:r>
              <w:t>Commodity and gas distribution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1,810</w:t>
            </w:r>
          </w:p>
        </w:tc>
        <w:tc>
          <w:tcPr>
            <w:tcW w:type="dxa" w:w="1080"/>
          </w:tcPr>
          <w:p>
            <w:r>
              <w:t>2)</w:t>
            </w:r>
          </w:p>
        </w:tc>
        <w:tc>
          <w:tcPr>
            <w:tcW w:type="dxa" w:w="1080"/>
          </w:tcPr>
          <w:p>
            <w:r>
              <w:t>19,450</w:t>
            </w:r>
          </w:p>
        </w:tc>
        <w:tc>
          <w:tcPr>
            <w:tcW w:type="dxa" w:w="1080"/>
          </w:tcPr>
          <w:p>
            <w:r>
              <w:t>613</w:t>
            </w:r>
          </w:p>
        </w:tc>
        <w:tc>
          <w:tcPr>
            <w:tcW w:type="dxa" w:w="1080"/>
          </w:tcPr>
          <w:p>
            <w:r>
              <w:t>(20,669)</w:t>
            </w:r>
          </w:p>
        </w:tc>
      </w:tr>
      <w:tr>
        <w:tc>
          <w:tcPr>
            <w:tcW w:type="dxa" w:w="1080"/>
          </w:tcPr>
          <w:p>
            <w:r>
              <w:t>costs Operating and administrative</w:t>
            </w:r>
          </w:p>
        </w:tc>
        <w:tc>
          <w:tcPr>
            <w:tcW w:type="dxa" w:w="1080"/>
          </w:tcPr>
          <w:p>
            <w:r>
              <w:t>(20) 3,331)</w:t>
            </w:r>
          </w:p>
        </w:tc>
        <w:tc>
          <w:tcPr>
            <w:tcW w:type="dxa" w:w="1080"/>
          </w:tcPr>
          <w:p>
            <w:r>
              <w:t>1,859)</w:t>
            </w:r>
          </w:p>
        </w:tc>
        <w:tc>
          <w:tcPr>
            <w:tcW w:type="dxa" w:w="1080"/>
          </w:tcPr>
          <w:p>
            <w:r>
              <w:t>1,091</w:t>
            </w:r>
          </w:p>
        </w:tc>
        <w:tc>
          <w:tcPr>
            <w:tcW w:type="dxa" w:w="1080"/>
          </w:tcPr>
          <w:p>
            <w:r>
              <w:t>191)</w:t>
            </w:r>
          </w:p>
        </w:tc>
        <w:tc>
          <w:tcPr>
            <w:tcW w:type="dxa" w:w="1080"/>
          </w:tcPr>
          <w:p>
            <w:r>
              <w:t>(67)</w:t>
            </w:r>
          </w:p>
        </w:tc>
        <w:tc>
          <w:tcPr>
            <w:tcW w:type="dxa" w:w="1080"/>
          </w:tcPr>
          <w:p>
            <w:r>
              <w:t>(210)</w:t>
            </w:r>
          </w:p>
        </w:tc>
        <w:tc>
          <w:tcPr>
            <w:tcW w:type="dxa" w:w="1080"/>
          </w:tcPr>
          <w:p>
            <w:r>
              <w:t>(6,749)</w:t>
            </w:r>
          </w:p>
        </w:tc>
      </w:tr>
      <w:tr>
        <w:tc>
          <w:tcPr>
            <w:tcW w:type="dxa" w:w="1080"/>
          </w:tcPr>
          <w:p>
            <w:r>
              <w:t>Income/(loss) from equity investments (Note 13)</w:t>
            </w:r>
          </w:p>
        </w:tc>
        <w:tc>
          <w:tcPr>
            <w:tcW w:type="dxa" w:w="1080"/>
          </w:tcPr>
          <w:p>
            <w:r>
              <w:t>558</w:t>
            </w:r>
          </w:p>
        </w:tc>
        <w:tc>
          <w:tcPr>
            <w:tcW w:type="dxa" w:w="1080"/>
          </w:tcPr>
          <w:p>
            <w:r>
              <w:t>479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94</w:t>
            </w:r>
          </w:p>
        </w:tc>
        <w:tc>
          <w:tcPr>
            <w:tcW w:type="dxa" w:w="1080"/>
          </w:tcPr>
          <w:p>
            <w:r>
              <w:t>(3)</w:t>
            </w:r>
          </w:p>
        </w:tc>
        <w:tc>
          <w:tcPr>
            <w:tcW w:type="dxa" w:w="1080"/>
          </w:tcPr>
          <w:p>
            <w:r>
              <w:t>(1)</w:t>
            </w:r>
          </w:p>
        </w:tc>
        <w:tc>
          <w:tcPr>
            <w:tcW w:type="dxa" w:w="1080"/>
          </w:tcPr>
          <w:p>
            <w:r>
              <w:t>1,136</w:t>
            </w:r>
          </w:p>
        </w:tc>
      </w:tr>
      <w:tr>
        <w:tc>
          <w:tcPr>
            <w:tcW w:type="dxa" w:w="1080"/>
          </w:tcPr>
          <w:p>
            <w:r>
              <w:t>Impairment of equity investments (Note 13)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2,351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Other income/(expense) (Note 28)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71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130</w:t>
            </w:r>
          </w:p>
        </w:tc>
        <w:tc>
          <w:tcPr>
            <w:tcW w:type="dxa" w:w="1080"/>
          </w:tcPr>
          <w:p>
            <w:r>
              <w:t>2,351) 238</w:t>
            </w:r>
          </w:p>
        </w:tc>
      </w:tr>
      <w:tr>
        <w:tc>
          <w:tcPr>
            <w:tcW w:type="dxa" w:w="1080"/>
          </w:tcPr>
          <w:p>
            <w:r>
              <w:t>Earnings/(loss) before interest, income taxes and depreciation and amortization Depreciation and amortization</w:t>
            </w:r>
          </w:p>
        </w:tc>
        <w:tc>
          <w:tcPr>
            <w:tcW w:type="dxa" w:w="1080"/>
          </w:tcPr>
          <w:p>
            <w:r>
              <w:t>7,683</w:t>
            </w:r>
          </w:p>
        </w:tc>
        <w:tc>
          <w:tcPr>
            <w:tcW w:type="dxa" w:w="1080"/>
          </w:tcPr>
          <w:p>
            <w:r>
              <w:t>1,087</w:t>
            </w:r>
          </w:p>
        </w:tc>
        <w:tc>
          <w:tcPr>
            <w:tcW w:type="dxa" w:w="1080"/>
          </w:tcPr>
          <w:p>
            <w:r>
              <w:t>1,748</w:t>
            </w:r>
          </w:p>
        </w:tc>
        <w:tc>
          <w:tcPr>
            <w:tcW w:type="dxa" w:w="1080"/>
          </w:tcPr>
          <w:p>
            <w:r>
              <w:t>523</w:t>
            </w:r>
          </w:p>
        </w:tc>
        <w:tc>
          <w:tcPr>
            <w:tcW w:type="dxa" w:w="1080"/>
          </w:tcPr>
          <w:p>
            <w:r>
              <w:t>(236)</w:t>
            </w:r>
          </w:p>
        </w:tc>
        <w:tc>
          <w:tcPr>
            <w:tcW w:type="dxa" w:w="1080"/>
          </w:tcPr>
          <w:p>
            <w:r>
              <w:t>(113)</w:t>
            </w:r>
          </w:p>
        </w:tc>
        <w:tc>
          <w:tcPr>
            <w:tcW w:type="dxa" w:w="1080"/>
          </w:tcPr>
          <w:p>
            <w:r>
              <w:t>10,692 3,712)</w:t>
            </w:r>
          </w:p>
        </w:tc>
      </w:tr>
      <w:tr>
        <w:tc>
          <w:tcPr>
            <w:tcW w:type="dxa" w:w="1080"/>
          </w:tcPr>
          <w:p>
            <w:r>
              <w:t>Interest expense (Note 18) Income tax expense (Note 25)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2,790 (774)</w:t>
            </w:r>
          </w:p>
        </w:tc>
      </w:tr>
      <w:tr>
        <w:tc>
          <w:tcPr>
            <w:tcW w:type="dxa" w:w="1080"/>
          </w:tcPr>
          <w:p>
            <w:r>
              <w:t>Earnings Capital expenditures</w:t>
            </w:r>
          </w:p>
        </w:tc>
        <w:tc>
          <w:tcPr>
            <w:tcW w:type="dxa" w:w="1080"/>
          </w:tcPr>
          <w:p>
            <w:r>
              <w:t>2,033</w:t>
            </w:r>
          </w:p>
        </w:tc>
        <w:tc>
          <w:tcPr>
            <w:tcW w:type="dxa" w:w="1080"/>
          </w:tcPr>
          <w:p>
            <w:r>
              <w:t>2,130</w:t>
            </w:r>
          </w:p>
        </w:tc>
        <w:tc>
          <w:tcPr>
            <w:tcW w:type="dxa" w:w="1080"/>
          </w:tcPr>
          <w:p>
            <w:r>
              <w:t>1,134</w:t>
            </w:r>
          </w:p>
        </w:tc>
        <w:tc>
          <w:tcPr>
            <w:tcW w:type="dxa" w:w="1080"/>
          </w:tcPr>
          <w:p>
            <w:r>
              <w:t>81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90</w:t>
            </w:r>
          </w:p>
        </w:tc>
        <w:tc>
          <w:tcPr>
            <w:tcW w:type="dxa" w:w="1080"/>
          </w:tcPr>
          <w:p>
            <w:r>
              <w:t>3,416 5,470</w:t>
            </w:r>
          </w:p>
        </w:tc>
      </w:tr>
      <w:tr>
        <w:tc>
          <w:tcPr>
            <w:tcW w:type="dxa" w:w="1080"/>
          </w:tcPr>
          <w:p>
            <w:r>
              <w:t>Total property, plant and equipment, net</w:t>
            </w:r>
          </w:p>
        </w:tc>
        <w:tc>
          <w:tcPr>
            <w:tcW w:type="dxa" w:w="1080"/>
          </w:tcPr>
          <w:p>
            <w:r>
              <w:t>48,799</w:t>
            </w:r>
          </w:p>
        </w:tc>
        <w:tc>
          <w:tcPr>
            <w:tcW w:type="dxa" w:w="1080"/>
          </w:tcPr>
          <w:p>
            <w:r>
              <w:t>25,745</w:t>
            </w:r>
          </w:p>
        </w:tc>
        <w:tc>
          <w:tcPr>
            <w:tcW w:type="dxa" w:w="1080"/>
          </w:tcPr>
          <w:p>
            <w:r>
              <w:t>16,079</w:t>
            </w:r>
          </w:p>
        </w:tc>
        <w:tc>
          <w:tcPr>
            <w:tcW w:type="dxa" w:w="1080"/>
          </w:tcPr>
          <w:p>
            <w:r>
              <w:t>3,495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429</w:t>
            </w:r>
          </w:p>
        </w:tc>
        <w:tc>
          <w:tcPr>
            <w:tcW w:type="dxa" w:w="1080"/>
          </w:tcPr>
          <w:p>
            <w:r>
              <w:t>94,571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Includes allowance for equity funds used during construction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measurement basis for preparation of segmented information is consistent with the significant </w:t>
      </w:r>
      <w:r>
        <w:rPr>
          <w:sz w:val="20"/>
        </w:rPr>
        <w:t xml:space="preserve">accounting policies (Note 2).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GEOGRAPHIC INFORMATION</w:t>
      </w:r>
    </w:p>
    <w:p>
      <w:pPr>
        <w:ind w:firstLine="360"/>
      </w:pPr>
      <w:r>
        <w:rPr>
          <w:sz w:val="20"/>
        </w:rPr>
        <w:t xml:space="preserve">1 Revenues are based on the country of origin of the product or service sold </w:t>
      </w:r>
    </w:p>
    <w:p>
      <w:pPr>
        <w:pStyle w:val="Heading1"/>
      </w:pPr>
      <w:r>
        <w:t>Property.Plant and Eauipment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December 31, (millions of Canadian dollars)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</w:tr>
      <w:tr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880"/>
          </w:tcPr>
          <w:p>
            <w:r>
              <w:t>47,602</w:t>
            </w:r>
          </w:p>
        </w:tc>
        <w:tc>
          <w:tcPr>
            <w:tcW w:type="dxa" w:w="2880"/>
          </w:tcPr>
          <w:p>
            <w:r>
              <w:t>47,102</w:t>
            </w:r>
          </w:p>
        </w:tc>
      </w:tr>
      <w:tr>
        <w:tc>
          <w:tcPr>
            <w:tcW w:type="dxa" w:w="2880"/>
          </w:tcPr>
          <w:p>
            <w:r>
              <w:t>US</w:t>
            </w:r>
          </w:p>
        </w:tc>
        <w:tc>
          <w:tcPr>
            <w:tcW w:type="dxa" w:w="2880"/>
          </w:tcPr>
          <w:p>
            <w:r>
              <w:t>56,858 104,460</w:t>
            </w:r>
          </w:p>
        </w:tc>
        <w:tc>
          <w:tcPr>
            <w:tcW w:type="dxa" w:w="2880"/>
          </w:tcPr>
          <w:p>
            <w:r>
              <w:t>52,965 100,067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Amounts are based on the location where the assets are hel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