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All amounts in U.S. dollars and all tabular amounts in millions,e </w:t>
      </w:r>
      <w:r>
        <w:rPr>
          <w:sz w:val="20"/>
        </w:rPr>
        <w:t xml:space="preserve">er share figures, unless otherwise noted] </w:t>
      </w:r>
    </w:p>
    <w:p>
      <w:pPr>
        <w:ind w:firstLine="360"/>
      </w:pPr>
      <w:r>
        <w:rPr>
          <w:sz w:val="20"/>
        </w:rPr>
        <w:t xml:space="preserve">elThe following table summarizes external reven </w:t>
      </w:r>
    </w:p>
    <w:p>
      <w:pPr>
        <w:ind w:firstLine="360"/>
      </w:pPr>
      <w:r>
        <w:rPr>
          <w:sz w:val="20"/>
        </w:rPr>
        <w:t xml:space="preserve">e following table summarizes.external revenues </w:t>
      </w:r>
      <w:r>
        <w:rPr>
          <w:sz w:val="20"/>
        </w:rPr>
        <w:t xml:space="preserve">and long-lived assets hx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3840"/>
            <w:gridSpan w:val="4"/>
          </w:tcPr>
          <w:p>
            <w:r>
              <w:t>External Sales</w:t>
            </w:r>
          </w:p>
        </w:tc>
        <w:tc>
          <w:tcPr>
            <w:tcW w:type="dxa" w:w="3840"/>
            <w:gridSpan w:val="4"/>
          </w:tcPr>
          <w:p>
            <w:r>
              <w:t>Fixed Assets, Net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2022</w:t>
            </w:r>
          </w:p>
        </w:tc>
        <w:tc>
          <w:tcPr>
            <w:tcW w:type="dxa" w:w="960"/>
          </w:tcPr>
          <w:p>
            <w:r>
              <w:t>2021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2022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2021</w:t>
            </w:r>
          </w:p>
        </w:tc>
      </w:tr>
      <w:tr>
        <w:tc>
          <w:tcPr>
            <w:tcW w:type="dxa" w:w="960"/>
          </w:tcPr>
          <w:p>
            <w:r>
              <w:t>North America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United States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>9,648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>8,612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>1,860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>1,686</w:t>
            </w:r>
          </w:p>
        </w:tc>
      </w:tr>
      <w:tr>
        <w:tc>
          <w:tcPr>
            <w:tcW w:type="dxa" w:w="960"/>
          </w:tcPr>
          <w:p>
            <w:r>
              <w:t>Canada</w:t>
            </w:r>
          </w:p>
        </w:tc>
        <w:tc>
          <w:tcPr>
            <w:tcW w:type="dxa" w:w="960"/>
          </w:tcPr>
          <w:p>
            <w:r>
              <w:t>4,870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4,253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921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960</w:t>
            </w:r>
          </w:p>
        </w:tc>
      </w:tr>
      <w:tr>
        <w:tc>
          <w:tcPr>
            <w:tcW w:type="dxa" w:w="960"/>
          </w:tcPr>
          <w:p>
            <w:r>
              <w:t>Mexico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4,393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3,833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1,260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1,210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16,698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Europe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18,911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4,041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3,856</w:t>
            </w:r>
          </w:p>
        </w:tc>
      </w:tr>
      <w:tr>
        <w:tc>
          <w:tcPr>
            <w:tcW w:type="dxa" w:w="960"/>
          </w:tcPr>
          <w:p>
            <w:r>
              <w:t>Austria</w:t>
            </w:r>
          </w:p>
        </w:tc>
        <w:tc>
          <w:tcPr>
            <w:tcW w:type="dxa" w:w="960"/>
          </w:tcPr>
          <w:p>
            <w:r>
              <w:t>6,617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7,661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737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3,800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3,989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771</w:t>
            </w:r>
          </w:p>
        </w:tc>
      </w:tr>
      <w:tr>
        <w:tc>
          <w:tcPr>
            <w:tcW w:type="dxa" w:w="960"/>
          </w:tcPr>
          <w:p>
            <w:r>
              <w:t>Germany Czech Republic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1,024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931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832 307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972</w:t>
            </w:r>
          </w:p>
        </w:tc>
      </w:tr>
      <w:tr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695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610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274</w:t>
            </w:r>
          </w:p>
        </w:tc>
      </w:tr>
      <w:tr>
        <w:tc>
          <w:tcPr>
            <w:tcW w:type="dxa" w:w="960"/>
          </w:tcPr>
          <w:p>
            <w:r>
              <w:t>France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381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262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224 61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220</w:t>
            </w:r>
          </w:p>
        </w:tc>
      </w:tr>
      <w:tr>
        <w:tc>
          <w:tcPr>
            <w:tcW w:type="dxa" w:w="960"/>
          </w:tcPr>
          <w:p>
            <w:r>
              <w:t>Italy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357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296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223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58</w:t>
            </w:r>
          </w:p>
        </w:tc>
      </w:tr>
      <w:tr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331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237 79</w:t>
            </w:r>
          </w:p>
        </w:tc>
      </w:tr>
      <w:tr>
        <w:tc>
          <w:tcPr>
            <w:tcW w:type="dxa" w:w="960"/>
          </w:tcPr>
          <w:p>
            <w:r>
              <w:t>United Kingdom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343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344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163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208</w:t>
            </w:r>
          </w:p>
        </w:tc>
      </w:tr>
      <w:tr>
        <w:tc>
          <w:tcPr>
            <w:tcW w:type="dxa" w:w="960"/>
          </w:tcPr>
          <w:p>
            <w:r>
              <w:t>Turkey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305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293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6</w:t>
            </w:r>
          </w:p>
        </w:tc>
      </w:tr>
      <w:tr>
        <w:tc>
          <w:tcPr>
            <w:tcW w:type="dxa" w:w="960"/>
          </w:tcPr>
          <w:p>
            <w:r>
              <w:t>Slovakia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206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204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299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273</w:t>
            </w:r>
          </w:p>
        </w:tc>
      </w:tr>
      <w:tr>
        <w:tc>
          <w:tcPr>
            <w:tcW w:type="dxa" w:w="960"/>
          </w:tcPr>
          <w:p>
            <w:r>
              <w:t>Russia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81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371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110</w:t>
            </w:r>
          </w:p>
        </w:tc>
      </w:tr>
      <w:tr>
        <w:tc>
          <w:tcPr>
            <w:tcW w:type="dxa" w:w="960"/>
          </w:tcPr>
          <w:p>
            <w:r>
              <w:t>Other Europe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135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139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203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208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14,295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15,431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3,131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3,416</w:t>
            </w:r>
          </w:p>
        </w:tc>
      </w:tr>
      <w:tr>
        <w:tc>
          <w:tcPr>
            <w:tcW w:type="dxa" w:w="960"/>
          </w:tcPr>
          <w:p>
            <w:r>
              <w:t>Asia Pacific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China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3,901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3,534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851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875</w:t>
            </w:r>
          </w:p>
        </w:tc>
      </w:tr>
      <w:tr>
        <w:tc>
          <w:tcPr>
            <w:tcW w:type="dxa" w:w="960"/>
          </w:tcPr>
          <w:p>
            <w:r>
              <w:t>India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228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147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83</w:t>
            </w:r>
          </w:p>
        </w:tc>
      </w:tr>
      <w:tr>
        <w:tc>
          <w:tcPr>
            <w:tcW w:type="dxa" w:w="960"/>
          </w:tcPr>
          <w:p>
            <w:r>
              <w:t>Other Asia Pacific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7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4,167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3,702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940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965</w:t>
            </w:r>
          </w:p>
        </w:tc>
      </w:tr>
      <w:tr>
        <w:tc>
          <w:tcPr>
            <w:tcW w:type="dxa" w:w="960"/>
          </w:tcPr>
          <w:p>
            <w:r>
              <w:t>Rest of World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467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411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56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>37,840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>36,242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>8,173</w:t>
            </w:r>
          </w:p>
        </w:tc>
        <w:tc>
          <w:tcPr>
            <w:tcW w:type="dxa" w:w="960"/>
          </w:tcPr>
          <w:p>
            <w:r>
              <w:t>$</w:t>
            </w:r>
          </w:p>
        </w:tc>
        <w:tc>
          <w:tcPr>
            <w:tcW w:type="dxa" w:w="960"/>
          </w:tcPr>
          <w:p>
            <w:r>
              <w:t>8,293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23.SUBSEOUENT EVENT</w:t>
      </w:r>
    </w:p>
    <w:p>
      <w:pPr>
        <w:pStyle w:val="Heading1"/>
      </w:pPr>
      <w:r>
        <w:t>NORMAL COURSE ISSUER BID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Subsequent to December 31,2022,the Company purchased 151,377 Common Shares to satisfy stock-based </w:t>
      </w:r>
      <w:r>
        <w:rPr>
          <w:sz w:val="20"/>
        </w:rPr>
        <w:t xml:space="preserve">compensation awards under our existing normal course issuer bid for cash consideration of $8 million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