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firstLine="360"/>
      </w:pPr>
      <w:r>
        <w:rPr>
          <w:sz w:val="20"/>
        </w:rPr>
        <w:t xml:space="preserve">Property,Plant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>2022</w:t>
            </w:r>
          </w:p>
        </w:tc>
        <w:tc>
          <w:tcPr>
            <w:tcW w:type="dxa" w:w="960"/>
          </w:tcPr>
          <w:p>
            <w:r>
              <w:t>2021</w:t>
            </w:r>
          </w:p>
        </w:tc>
        <w:tc>
          <w:tcPr>
            <w:tcW w:type="dxa" w:w="960"/>
          </w:tcPr>
          <w:p>
            <w:r>
              <w:t>2022</w:t>
            </w:r>
          </w:p>
        </w:tc>
        <w:tc>
          <w:tcPr>
            <w:tcW w:type="dxa" w:w="960"/>
          </w:tcPr>
          <w:p>
            <w:r>
              <w:t>2021</w:t>
            </w:r>
          </w:p>
        </w:tc>
        <w:tc>
          <w:tcPr>
            <w:tcW w:type="dxa" w:w="960"/>
          </w:tcPr>
          <w:p>
            <w:r>
              <w:t>2022</w:t>
            </w:r>
          </w:p>
        </w:tc>
        <w:tc>
          <w:tcPr>
            <w:tcW w:type="dxa" w:w="960"/>
          </w:tcPr>
          <w:p>
            <w:r>
              <w:t>2021</w:t>
            </w:r>
          </w:p>
        </w:tc>
        <w:tc>
          <w:tcPr>
            <w:tcW w:type="dxa" w:w="960"/>
          </w:tcPr>
          <w:p>
            <w:r>
              <w:t>2022</w:t>
            </w:r>
          </w:p>
        </w:tc>
        <w:tc>
          <w:tcPr>
            <w:tcW w:type="dxa" w:w="960"/>
          </w:tcPr>
          <w:p>
            <w:r>
              <w:t>2021</w:t>
            </w:r>
          </w:p>
        </w:tc>
      </w:tr>
      <w:tr>
        <w:tc>
          <w:tcPr>
            <w:tcW w:type="dxa" w:w="960"/>
          </w:tcPr>
          <w:p>
            <w:r>
              <w:t>Canada</w:t>
            </w:r>
          </w:p>
        </w:tc>
        <w:tc>
          <w:tcPr>
            <w:tcW w:type="dxa" w:w="960"/>
          </w:tcPr>
          <w:p>
            <w:r>
              <w:t>17,759</w:t>
            </w:r>
          </w:p>
        </w:tc>
        <w:tc>
          <w:tcPr>
            <w:tcW w:type="dxa" w:w="960"/>
          </w:tcPr>
          <w:p>
            <w:r>
              <w:t>17,177</w:t>
            </w:r>
          </w:p>
        </w:tc>
        <w:tc>
          <w:tcPr>
            <w:tcW w:type="dxa" w:w="960"/>
          </w:tcPr>
          <w:p>
            <w:r>
              <w:t>845</w:t>
            </w:r>
          </w:p>
        </w:tc>
        <w:tc>
          <w:tcPr>
            <w:tcW w:type="dxa" w:w="960"/>
          </w:tcPr>
          <w:p>
            <w:r>
              <w:t>732</w:t>
            </w:r>
          </w:p>
        </w:tc>
        <w:tc>
          <w:tcPr>
            <w:tcW w:type="dxa" w:w="960"/>
          </w:tcPr>
          <w:p>
            <w:r>
              <w:t>413</w:t>
            </w:r>
          </w:p>
        </w:tc>
        <w:tc>
          <w:tcPr>
            <w:tcW w:type="dxa" w:w="960"/>
          </w:tcPr>
          <w:p>
            <w:r>
              <w:t>337</w:t>
            </w:r>
          </w:p>
        </w:tc>
        <w:tc>
          <w:tcPr>
            <w:tcW w:type="dxa" w:w="960"/>
          </w:tcPr>
          <w:p>
            <w:r>
              <w:t>19,017</w:t>
            </w:r>
          </w:p>
        </w:tc>
        <w:tc>
          <w:tcPr>
            <w:tcW w:type="dxa" w:w="960"/>
          </w:tcPr>
          <w:p>
            <w:r>
              <w:t>18,246</w:t>
            </w:r>
          </w:p>
        </w:tc>
      </w:tr>
      <w:tr>
        <w:tc>
          <w:tcPr>
            <w:tcW w:type="dxa" w:w="960"/>
          </w:tcPr>
          <w:p>
            <w:r>
              <w:t>Australia</w:t>
            </w:r>
          </w:p>
        </w:tc>
        <w:tc>
          <w:tcPr>
            <w:tcW w:type="dxa" w:w="960"/>
          </w:tcPr>
          <w:p>
            <w:r>
              <w:t>1,431</w:t>
            </w:r>
          </w:p>
        </w:tc>
        <w:tc>
          <w:tcPr>
            <w:tcW w:type="dxa" w:w="960"/>
          </w:tcPr>
          <w:p>
            <w:r>
              <w:t>1,370</w:t>
            </w:r>
          </w:p>
        </w:tc>
        <w:tc>
          <w:tcPr>
            <w:tcW w:type="dxa" w:w="960"/>
          </w:tcPr>
          <w:p>
            <w:r>
              <w:t>16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</w:tcPr>
          <w:p>
            <w:r>
              <w:t>45</w:t>
            </w:r>
          </w:p>
        </w:tc>
        <w:tc>
          <w:tcPr>
            <w:tcW w:type="dxa" w:w="960"/>
          </w:tcPr>
          <w:p>
            <w:r>
              <w:t>40</w:t>
            </w:r>
          </w:p>
        </w:tc>
        <w:tc>
          <w:tcPr>
            <w:tcW w:type="dxa" w:w="960"/>
          </w:tcPr>
          <w:p>
            <w:r>
              <w:t>1,492</w:t>
            </w:r>
          </w:p>
        </w:tc>
        <w:tc>
          <w:tcPr>
            <w:tcW w:type="dxa" w:w="960"/>
          </w:tcPr>
          <w:p>
            <w:r>
              <w:t>1,421</w:t>
            </w:r>
          </w:p>
        </w:tc>
      </w:tr>
      <w:tr>
        <w:tc>
          <w:tcPr>
            <w:tcW w:type="dxa" w:w="960"/>
          </w:tcPr>
          <w:p>
            <w:r>
              <w:t>South America</w:t>
            </w:r>
          </w:p>
        </w:tc>
        <w:tc>
          <w:tcPr>
            <w:tcW w:type="dxa" w:w="960"/>
          </w:tcPr>
          <w:p>
            <w:r>
              <w:t>53</w:t>
            </w:r>
          </w:p>
        </w:tc>
        <w:tc>
          <w:tcPr>
            <w:tcW w:type="dxa" w:w="960"/>
          </w:tcPr>
          <w:p>
            <w:r>
              <w:t>43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470</w:t>
            </w:r>
          </w:p>
        </w:tc>
        <w:tc>
          <w:tcPr>
            <w:tcW w:type="dxa" w:w="960"/>
          </w:tcPr>
          <w:p>
            <w:r>
              <w:t>435</w:t>
            </w:r>
          </w:p>
        </w:tc>
        <w:tc>
          <w:tcPr>
            <w:tcW w:type="dxa" w:w="960"/>
          </w:tcPr>
          <w:p>
            <w:r>
              <w:t>524</w:t>
            </w:r>
          </w:p>
        </w:tc>
        <w:tc>
          <w:tcPr>
            <w:tcW w:type="dxa" w:w="960"/>
          </w:tcPr>
          <w:p>
            <w:r>
              <w:t>479</w:t>
            </w:r>
          </w:p>
        </w:tc>
      </w:tr>
      <w:tr>
        <w:tc>
          <w:tcPr>
            <w:tcW w:type="dxa" w:w="960"/>
          </w:tcPr>
          <w:p>
            <w:r>
              <w:t>Other</w:t>
            </w:r>
          </w:p>
        </w:tc>
        <w:tc>
          <w:tcPr>
            <w:tcW w:type="dxa" w:w="960"/>
          </w:tcPr>
          <w:p>
            <w:r>
              <w:t>261</w:t>
            </w:r>
          </w:p>
        </w:tc>
        <w:tc>
          <w:tcPr>
            <w:tcW w:type="dxa" w:w="960"/>
          </w:tcPr>
          <w:p>
            <w:r>
              <w:t>201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</w:tcPr>
          <w:p>
            <w:r>
              <w:t>281</w:t>
            </w:r>
          </w:p>
        </w:tc>
        <w:tc>
          <w:tcPr>
            <w:tcW w:type="dxa" w:w="960"/>
          </w:tcPr>
          <w:p>
            <w:r>
              <w:t>214</w:t>
            </w:r>
          </w:p>
        </w:tc>
      </w:tr>
      <w:tr>
        <w:tc>
          <w:tcPr>
            <w:tcW w:type="dxa" w:w="960"/>
          </w:tcPr>
          <w:p>
            <w:r>
              <w:t>Total</w:t>
            </w:r>
          </w:p>
        </w:tc>
        <w:tc>
          <w:tcPr>
            <w:tcW w:type="dxa" w:w="960"/>
          </w:tcPr>
          <w:p>
            <w:r>
              <w:t>19,504</w:t>
            </w:r>
          </w:p>
        </w:tc>
        <w:tc>
          <w:tcPr>
            <w:tcW w:type="dxa" w:w="960"/>
          </w:tcPr>
          <w:p>
            <w:r>
              <w:t>18,791</w:t>
            </w:r>
          </w:p>
        </w:tc>
        <w:tc>
          <w:tcPr>
            <w:tcW w:type="dxa" w:w="960"/>
          </w:tcPr>
          <w:p>
            <w:r>
              <w:t>870</w:t>
            </w:r>
          </w:p>
        </w:tc>
        <w:tc>
          <w:tcPr>
            <w:tcW w:type="dxa" w:w="960"/>
          </w:tcPr>
          <w:p>
            <w:r>
              <w:t>752</w:t>
            </w:r>
          </w:p>
        </w:tc>
        <w:tc>
          <w:tcPr>
            <w:tcW w:type="dxa" w:w="960"/>
          </w:tcPr>
          <w:p>
            <w:r>
              <w:t>940</w:t>
            </w:r>
          </w:p>
        </w:tc>
        <w:tc>
          <w:tcPr>
            <w:tcW w:type="dxa" w:w="960"/>
          </w:tcPr>
          <w:p>
            <w:r>
              <w:t>817</w:t>
            </w:r>
          </w:p>
        </w:tc>
        <w:tc>
          <w:tcPr>
            <w:tcW w:type="dxa" w:w="960"/>
          </w:tcPr>
          <w:p>
            <w:r>
              <w:t>21,314</w:t>
            </w:r>
          </w:p>
        </w:tc>
        <w:tc>
          <w:tcPr>
            <w:tcW w:type="dxa" w:w="960"/>
          </w:tcPr>
          <w:p>
            <w:r>
              <w:t>20,360</w:t>
            </w:r>
          </w:p>
        </w:tc>
      </w:tr>
    </w:tbl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ind w:firstLine="360"/>
      </w:pPr>
      <w:r>
        <w:rPr>
          <w:sz w:val="20"/>
        </w:rPr>
        <w:t xml:space="preserve">1) </w:t>
      </w:r>
      <w:r>
        <w:rPr>
          <w:sz w:val="20"/>
        </w:rPr>
        <w:t xml:space="preserve">Other assets exclude financial instruments,retirement benefit assets,deferred income tax assets and goodwil </w:t>
      </w:r>
    </w:p>
    <w:p>
      <w:pPr>
        <w:pStyle w:val="Heading1"/>
      </w:pPr>
      <w:r>
        <w:t>ADJUSTED EARNINGS</w:t>
      </w:r>
    </w:p>
    <w:p>
      <w:pPr>
        <w:ind w:firstLine="360"/>
      </w:pPr>
      <w:r>
        <w:rPr>
          <w:sz w:val="20"/>
        </w:rPr>
        <w:t xml:space="preserve">Adiusted earnings are earnings attributable to Class LandlShares after adiusting for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ind w:firstLine="360"/>
      </w:pPr>
      <w:r>
        <w:rPr>
          <w:sz w:val="20"/>
        </w:rPr>
        <w:t xml:space="preserve">the timing of revenues and expenses for rate-regulated activities; </w:t>
      </w:r>
      <w:r>
        <w:rPr>
          <w:sz w:val="20"/>
        </w:rPr>
        <w:t xml:space="preserve">one-time gainsand losses; </w:t>
      </w:r>
      <w:r>
        <w:rPr>
          <w:sz w:val="20"/>
        </w:rPr>
        <w:t xml:space="preserve">unrealized gains and losses on mark-to-market forward and swap commodity contracts </w:t>
      </w:r>
      <w:r>
        <w:rPr>
          <w:sz w:val="20"/>
        </w:rPr>
        <w:t xml:space="preserve">impairments; and </w:t>
      </w:r>
      <w:r>
        <w:rPr>
          <w:sz w:val="20"/>
        </w:rPr>
        <w:t xml:space="preserve">items that are not in the normal course of business or a result of day-to-day operations </w:t>
      </w:r>
    </w:p>
    <w:p>
      <w:pPr>
        <w:ind w:firstLine="360"/>
      </w:pPr>
      <w:r>
        <w:rPr>
          <w:sz w:val="20"/>
        </w:rPr>
        <w:t xml:space="preserve">sted earnings are a key measure of segment earnings used by the CODM to assess segment performance a </w:t>
      </w:r>
      <w:r>
        <w:rPr>
          <w:sz w:val="20"/>
        </w:rPr>
        <w:t xml:space="preserve">ate resources.Other accounts in the consolidated financial statements have not been adjusted as they are </w:t>
      </w:r>
      <w:r>
        <w:rPr>
          <w:sz w:val="20"/>
        </w:rPr>
        <w:t xml:space="preserve">bythe CODM for those purposes. </w:t>
      </w:r>
    </w:p>
    <w:sectPr w:rsidR="00FC693F" w:rsidRPr="0006063C" w:rsidSect="00034616">
      <w:type w:val="continuous"/>
      <w:pgSz w:w="12240" w:h="15840"/>
      <w:pgMar w:top="1440" w:right="1800" w:bottom="1440" w:left="1800" w:header="720" w:footer="720" w:gutter="0"/>
      <w:cols w:space="720" w:num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13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