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15.Seqmented information: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Company's operations consist of the production and sale of methanol, which constitutes a single operating segment. </w:t>
      </w:r>
      <w:r>
        <w:rPr>
          <w:sz w:val="20"/>
        </w:rPr>
        <w:t xml:space="preserve">During the years ended December 31,2022 and 2021, revenues attributed to geographic regions, based on the location of </w:t>
      </w:r>
      <w:r>
        <w:rPr>
          <w:sz w:val="20"/>
        </w:rPr>
        <w:t xml:space="preserve">customers,were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Revenue</w:t>
            </w:r>
          </w:p>
        </w:tc>
        <w:tc>
          <w:tcPr>
            <w:tcW w:type="dxa" w:w="1016"/>
            <w:gridSpan w:val="2"/>
          </w:tcPr>
          <w:p>
            <w:r>
              <w:t>China</w:t>
            </w:r>
          </w:p>
        </w:tc>
        <w:tc>
          <w:tcPr>
            <w:tcW w:type="dxa" w:w="1016"/>
            <w:gridSpan w:val="2"/>
          </w:tcPr>
          <w:p>
            <w:r>
              <w:t>United Europe States</w:t>
            </w:r>
          </w:p>
        </w:tc>
        <w:tc>
          <w:tcPr>
            <w:tcW w:type="dxa" w:w="1016"/>
            <w:gridSpan w:val="2"/>
          </w:tcPr>
          <w:p>
            <w:r>
              <w:t>South Korea</w:t>
            </w:r>
          </w:p>
        </w:tc>
        <w:tc>
          <w:tcPr>
            <w:tcW w:type="dxa" w:w="1016"/>
            <w:gridSpan w:val="2"/>
          </w:tcPr>
          <w:p>
            <w:r>
              <w:t>South America</w:t>
            </w:r>
          </w:p>
        </w:tc>
        <w:tc>
          <w:tcPr>
            <w:tcW w:type="dxa" w:w="1016"/>
            <w:gridSpan w:val="2"/>
          </w:tcPr>
          <w:p>
            <w:r>
              <w:t>Canada</w:t>
            </w:r>
          </w:p>
        </w:tc>
        <w:tc>
          <w:tcPr>
            <w:tcW w:type="dxa" w:w="1016"/>
            <w:gridSpan w:val="2"/>
          </w:tcPr>
          <w:p>
            <w:r>
              <w:t>Other Asia</w:t>
            </w:r>
          </w:p>
        </w:tc>
        <w:tc>
          <w:tcPr>
            <w:tcW w:type="dxa" w:w="1016"/>
            <w:gridSpan w:val="2"/>
          </w:tcPr>
          <w:p>
            <w:r>
              <w:t>TOTAL</w:t>
            </w:r>
          </w:p>
        </w:tc>
        <w:tc>
          <w:tcPr>
            <w:tcW w:type="dxa" w:w="1016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508"/>
          </w:tcPr>
          <w:p>
            <w:r>
              <w:t>2022</w:t>
            </w:r>
          </w:p>
        </w:tc>
        <w:tc>
          <w:tcPr>
            <w:tcW w:type="dxa" w:w="508"/>
          </w:tcPr>
          <w:p>
            <w:r>
              <w:t>$1,105,610</w:t>
            </w:r>
          </w:p>
        </w:tc>
        <w:tc>
          <w:tcPr>
            <w:tcW w:type="dxa" w:w="508"/>
          </w:tcPr>
          <w:p>
            <w:r>
              <w:t>$830,507</w:t>
            </w:r>
          </w:p>
        </w:tc>
        <w:tc>
          <w:tcPr>
            <w:tcW w:type="dxa" w:w="508"/>
          </w:tcPr>
          <w:p>
            <w:r>
              <w:t>-</w:t>
            </w:r>
          </w:p>
        </w:tc>
        <w:tc>
          <w:tcPr>
            <w:tcW w:type="dxa" w:w="508"/>
          </w:tcPr>
          <w:p>
            <w:r>
              <w:t>$657,495</w:t>
            </w:r>
          </w:p>
        </w:tc>
        <w:tc>
          <w:tcPr>
            <w:tcW w:type="dxa" w:w="508"/>
          </w:tcPr>
          <w:p>
            <w:r>
              <w:t>-</w:t>
            </w:r>
          </w:p>
        </w:tc>
        <w:tc>
          <w:tcPr>
            <w:tcW w:type="dxa" w:w="508"/>
          </w:tcPr>
          <w:p>
            <w:r>
              <w:t>542,646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458,989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197,040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518,901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4,311,188</w:t>
            </w:r>
          </w:p>
        </w:tc>
      </w:tr>
      <w:tr>
        <w:tc>
          <w:tcPr>
            <w:tcW w:type="dxa" w:w="508"/>
          </w:tcPr>
          <w:p>
            <w:r>
              <w:t>2021</w:t>
            </w:r>
          </w:p>
        </w:tc>
        <w:tc>
          <w:tcPr>
            <w:tcW w:type="dxa" w:w="508"/>
          </w:tcPr>
          <w:p>
            <w:r>
              <w:t>26% $1,263,753 $</w:t>
            </w:r>
          </w:p>
        </w:tc>
        <w:tc>
          <w:tcPr>
            <w:tcW w:type="dxa" w:w="508"/>
          </w:tcPr>
          <w:p>
            <w:r>
              <w:t>19% 883,290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15% 670,617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13% 525,850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11% 438,463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176,796</w:t>
            </w:r>
          </w:p>
        </w:tc>
        <w:tc>
          <w:tcPr>
            <w:tcW w:type="dxa" w:w="508"/>
          </w:tcPr>
          <w:p>
            <w:r>
              <w:t>4%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12% 455,790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100% 4,414,559</w:t>
            </w:r>
          </w:p>
        </w:tc>
      </w:tr>
      <w:tr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29%</w:t>
            </w:r>
          </w:p>
        </w:tc>
        <w:tc>
          <w:tcPr>
            <w:tcW w:type="dxa" w:w="508"/>
          </w:tcPr>
          <w:p>
            <w:r>
              <w:t>20%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15%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12%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10%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4%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10%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100%</w:t>
            </w:r>
          </w:p>
        </w:tc>
      </w:tr>
    </w:tbl>
    <w:p>
      <w:pPr>
        <w:ind w:firstLine="360"/>
      </w:pPr>
      <w:r>
        <w:rPr>
          <w:sz w:val="20"/>
        </w:rPr>
        <w:t xml:space="preserve">As at December 31, 2022 and 2021, the net book value of property, plant and equipment by geographic region, and the </w:t>
      </w:r>
      <w:r>
        <w:rPr>
          <w:sz w:val="20"/>
        </w:rPr>
        <w:t xml:space="preserve">Company's shipping business, was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For the years ended December 31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Current tax (expense) recovery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Current period before undernoted items</w:t>
            </w:r>
          </w:p>
        </w:tc>
        <w:tc>
          <w:tcPr>
            <w:tcW w:type="dxa" w:w="2880"/>
          </w:tcPr>
          <w:p>
            <w:r>
              <w:t>$ 127,254)$</w:t>
            </w:r>
          </w:p>
        </w:tc>
        <w:tc>
          <w:tcPr>
            <w:tcW w:type="dxa" w:w="2880"/>
          </w:tcPr>
          <w:p>
            <w:r>
              <w:t>115,629)</w:t>
            </w:r>
          </w:p>
        </w:tc>
      </w:tr>
      <w:tr>
        <w:tc>
          <w:tcPr>
            <w:tcW w:type="dxa" w:w="2880"/>
          </w:tcPr>
          <w:p>
            <w:r>
              <w:t>Adjustments to prior years</w:t>
            </w:r>
          </w:p>
        </w:tc>
        <w:tc>
          <w:tcPr>
            <w:tcW w:type="dxa" w:w="2880"/>
          </w:tcPr>
          <w:p>
            <w:r>
              <w:t>(324</w:t>
            </w:r>
          </w:p>
        </w:tc>
        <w:tc>
          <w:tcPr>
            <w:tcW w:type="dxa" w:w="2880"/>
          </w:tcPr>
          <w:p>
            <w:r>
              <w:t>138)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127,578</w:t>
            </w:r>
          </w:p>
        </w:tc>
        <w:tc>
          <w:tcPr>
            <w:tcW w:type="dxa" w:w="2880"/>
          </w:tcPr>
          <w:p>
            <w:r>
              <w:t>115,767)</w:t>
            </w:r>
          </w:p>
        </w:tc>
      </w:tr>
      <w:tr>
        <w:tc>
          <w:tcPr>
            <w:tcW w:type="dxa" w:w="2880"/>
          </w:tcPr>
          <w:p>
            <w:r>
              <w:t>Deferred tax recovery (expense):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Origination and reversal of temporary differences</w:t>
            </w:r>
          </w:p>
        </w:tc>
        <w:tc>
          <w:tcPr>
            <w:tcW w:type="dxa" w:w="2880"/>
          </w:tcPr>
          <w:p>
            <w:r>
              <w:t>9,589</w:t>
            </w:r>
          </w:p>
        </w:tc>
        <w:tc>
          <w:tcPr>
            <w:tcW w:type="dxa" w:w="2880"/>
          </w:tcPr>
          <w:p>
            <w:r>
              <w:t>4,360</w:t>
            </w:r>
          </w:p>
        </w:tc>
      </w:tr>
      <w:tr>
        <w:tc>
          <w:tcPr>
            <w:tcW w:type="dxa" w:w="2880"/>
          </w:tcPr>
          <w:p>
            <w:r>
              <w:t>Adjustments to prior years</w:t>
            </w:r>
          </w:p>
        </w:tc>
        <w:tc>
          <w:tcPr>
            <w:tcW w:type="dxa" w:w="2880"/>
          </w:tcPr>
          <w:p>
            <w:r>
              <w:t>(400)</w:t>
            </w:r>
          </w:p>
        </w:tc>
        <w:tc>
          <w:tcPr>
            <w:tcW w:type="dxa" w:w="2880"/>
          </w:tcPr>
          <w:p>
            <w:r>
              <w:t>(235)</w:t>
            </w:r>
          </w:p>
        </w:tc>
      </w:tr>
      <w:tr>
        <w:tc>
          <w:tcPr>
            <w:tcW w:type="dxa" w:w="2880"/>
          </w:tcPr>
          <w:p>
            <w:r>
              <w:t>Changes in tax rates</w:t>
            </w:r>
          </w:p>
        </w:tc>
        <w:tc>
          <w:tcPr>
            <w:tcW w:type="dxa" w:w="2880"/>
          </w:tcPr>
          <w:p>
            <w:r>
              <w:t>(23)</w:t>
            </w:r>
          </w:p>
        </w:tc>
        <w:tc>
          <w:tcPr>
            <w:tcW w:type="dxa" w:w="2880"/>
          </w:tcPr>
          <w:p>
            <w:r>
              <w:t>3,630</w:t>
            </w:r>
          </w:p>
        </w:tc>
      </w:tr>
      <w:tr>
        <w:tc>
          <w:tcPr>
            <w:tcW w:type="dxa" w:w="2880"/>
          </w:tcPr>
          <w:p>
            <w:r>
              <w:t>Impact of foreign exchange and other</w:t>
            </w:r>
          </w:p>
        </w:tc>
        <w:tc>
          <w:tcPr>
            <w:tcW w:type="dxa" w:w="2880"/>
          </w:tcPr>
          <w:p>
            <w:r>
              <w:t>1,447</w:t>
            </w:r>
          </w:p>
        </w:tc>
        <w:tc>
          <w:tcPr>
            <w:tcW w:type="dxa" w:w="2880"/>
          </w:tcPr>
          <w:p>
            <w:r>
              <w:t>2,415)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7,719</w:t>
            </w:r>
          </w:p>
        </w:tc>
        <w:tc>
          <w:tcPr>
            <w:tcW w:type="dxa" w:w="2880"/>
          </w:tcPr>
          <w:p>
            <w:r>
              <w:t>5,340</w:t>
            </w:r>
          </w:p>
        </w:tc>
      </w:tr>
      <w:tr>
        <w:tc>
          <w:tcPr>
            <w:tcW w:type="dxa" w:w="2880"/>
          </w:tcPr>
          <w:p>
            <w:r>
              <w:t>Total income tax (expense) recovery</w:t>
            </w:r>
          </w:p>
        </w:tc>
        <w:tc>
          <w:tcPr>
            <w:tcW w:type="dxa" w:w="2880"/>
          </w:tcPr>
          <w:p>
            <w:r>
              <w:t>$ (119,859)$</w:t>
            </w:r>
          </w:p>
        </w:tc>
        <w:tc>
          <w:tcPr>
            <w:tcW w:type="dxa" w:w="2880"/>
          </w:tcPr>
          <w:p>
            <w:r>
              <w:t>110,427)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