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e following is revenue information by geographic area based on the location of production for the years enc </w:t>
      </w:r>
      <w:r>
        <w:rPr>
          <w:sz w:val="20"/>
        </w:rPr>
        <w:t xml:space="preserve">cember 31,(in thousands):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2468"/>
            <w:gridSpan w:val="2"/>
          </w:tcPr>
          <w:p>
            <w:r>
              <w:t>2022</w:t>
            </w:r>
          </w:p>
        </w:tc>
        <w:tc>
          <w:tcPr>
            <w:tcW w:type="dxa" w:w="2468"/>
            <w:gridSpan w:val="2"/>
          </w:tcPr>
          <w:p>
            <w:r>
              <w:t>2021</w:t>
            </w:r>
          </w:p>
        </w:tc>
        <w:tc>
          <w:tcPr>
            <w:tcW w:type="dxa" w:w="2468"/>
            <w:gridSpan w:val="2"/>
          </w:tcPr>
          <w:p>
            <w:r>
              <w:t>2020</w:t>
            </w:r>
          </w:p>
        </w:tc>
      </w:tr>
      <w:tr>
        <w:tc>
          <w:tcPr>
            <w:tcW w:type="dxa" w:w="1234"/>
          </w:tcPr>
          <w:p>
            <w:r>
              <w:t>Turkiye</w:t>
            </w:r>
          </w:p>
        </w:tc>
        <w:tc>
          <w:tcPr>
            <w:tcW w:type="dxa" w:w="1234"/>
          </w:tcPr>
          <w:p>
            <w:r>
              <w:t>$</w:t>
            </w:r>
          </w:p>
        </w:tc>
        <w:tc>
          <w:tcPr>
            <w:tcW w:type="dxa" w:w="1234"/>
          </w:tcPr>
          <w:p>
            <w:r>
              <w:t>355,070</w:t>
            </w:r>
          </w:p>
        </w:tc>
        <w:tc>
          <w:tcPr>
            <w:tcW w:type="dxa" w:w="1234"/>
          </w:tcPr>
          <w:p>
            <w:r>
              <w:t>$</w:t>
            </w:r>
          </w:p>
        </w:tc>
        <w:tc>
          <w:tcPr>
            <w:tcW w:type="dxa" w:w="1234"/>
          </w:tcPr>
          <w:p>
            <w:r>
              <w:t>607,887</w:t>
            </w:r>
          </w:p>
        </w:tc>
        <w:tc>
          <w:tcPr>
            <w:tcW w:type="dxa" w:w="1234"/>
          </w:tcPr>
          <w:p>
            <w:r>
              <w:t>$</w:t>
            </w:r>
          </w:p>
        </w:tc>
        <w:tc>
          <w:tcPr>
            <w:tcW w:type="dxa" w:w="1234"/>
          </w:tcPr>
          <w:p>
            <w:r>
              <w:t>205,535</w:t>
            </w:r>
          </w:p>
        </w:tc>
      </w:tr>
      <w:tr>
        <w:tc>
          <w:tcPr>
            <w:tcW w:type="dxa" w:w="1234"/>
          </w:tcPr>
          <w:p>
            <w:r>
              <w:t>Canada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244,692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213,860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135,230</w:t>
            </w:r>
          </w:p>
        </w:tc>
      </w:tr>
      <w:tr>
        <w:tc>
          <w:tcPr>
            <w:tcW w:type="dxa" w:w="1234"/>
          </w:tcPr>
          <w:p>
            <w:r>
              <w:t>United States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348,817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426,391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409,799</w:t>
            </w:r>
          </w:p>
        </w:tc>
      </w:tr>
      <w:tr>
        <w:tc>
          <w:tcPr>
            <w:tcW w:type="dxa" w:w="1234"/>
          </w:tcPr>
          <w:p>
            <w:r>
              <w:t>Argentina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199,454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226,061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102,525</w:t>
            </w:r>
          </w:p>
        </w:tc>
      </w:tr>
      <w:tr>
        <w:tc>
          <w:tcPr>
            <w:tcW w:type="dxa" w:w="1234"/>
          </w:tcPr>
          <w:p>
            <w:r>
              <w:t>Total</w:t>
            </w:r>
          </w:p>
        </w:tc>
        <w:tc>
          <w:tcPr>
            <w:tcW w:type="dxa" w:w="1234"/>
          </w:tcPr>
          <w:p>
            <w:r>
              <w:t>$</w:t>
            </w:r>
          </w:p>
        </w:tc>
        <w:tc>
          <w:tcPr>
            <w:tcW w:type="dxa" w:w="1234"/>
          </w:tcPr>
          <w:p>
            <w:r>
              <w:t>1,148,033</w:t>
            </w:r>
          </w:p>
        </w:tc>
        <w:tc>
          <w:tcPr>
            <w:tcW w:type="dxa" w:w="1234"/>
          </w:tcPr>
          <w:p>
            <w:r>
              <w:t>$</w:t>
            </w:r>
          </w:p>
        </w:tc>
        <w:tc>
          <w:tcPr>
            <w:tcW w:type="dxa" w:w="1234"/>
          </w:tcPr>
          <w:p>
            <w:r>
              <w:t>1,474,199</w:t>
            </w:r>
          </w:p>
        </w:tc>
        <w:tc>
          <w:tcPr>
            <w:tcW w:type="dxa" w:w="1234"/>
          </w:tcPr>
          <w:p>
            <w:r>
              <w:t>$</w:t>
            </w:r>
          </w:p>
        </w:tc>
        <w:tc>
          <w:tcPr>
            <w:tcW w:type="dxa" w:w="1234"/>
          </w:tcPr>
          <w:p>
            <w:r>
              <w:t>853,089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5.</w:t>
      </w:r>
    </w:p>
    <w:p>
      <w:pPr>
        <w:ind w:firstLine="360"/>
      </w:pPr>
      <w:r>
        <w:rPr>
          <w:sz w:val="20"/>
        </w:rPr>
        <w:t xml:space="preserve">The following table rep </w:t>
      </w:r>
      <w:r>
        <w:rPr>
          <w:sz w:val="20"/>
        </w:rPr>
        <w:t xml:space="preserve">product (in thousands)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2468"/>
            <w:gridSpan w:val="2"/>
          </w:tcPr>
          <w:p>
            <w:r>
              <w:t>2022</w:t>
            </w:r>
          </w:p>
        </w:tc>
        <w:tc>
          <w:tcPr>
            <w:tcW w:type="dxa" w:w="2468"/>
            <w:gridSpan w:val="2"/>
          </w:tcPr>
          <w:p>
            <w:r>
              <w:t>2021</w:t>
            </w:r>
          </w:p>
        </w:tc>
        <w:tc>
          <w:tcPr>
            <w:tcW w:type="dxa" w:w="2468"/>
            <w:gridSpan w:val="2"/>
          </w:tcPr>
          <w:p>
            <w:r>
              <w:t>2020</w:t>
            </w:r>
          </w:p>
        </w:tc>
      </w:tr>
      <w:tr>
        <w:tc>
          <w:tcPr>
            <w:tcW w:type="dxa" w:w="1234"/>
          </w:tcPr>
          <w:p>
            <w:r>
              <w:t>Gold dore sales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Copler</w:t>
            </w:r>
          </w:p>
        </w:tc>
        <w:tc>
          <w:tcPr>
            <w:tcW w:type="dxa" w:w="1234"/>
          </w:tcPr>
          <w:p>
            <w:r>
              <w:t>$</w:t>
            </w:r>
          </w:p>
        </w:tc>
        <w:tc>
          <w:tcPr>
            <w:tcW w:type="dxa" w:w="1234"/>
          </w:tcPr>
          <w:p>
            <w:r>
              <w:t>352,740</w:t>
            </w:r>
          </w:p>
        </w:tc>
        <w:tc>
          <w:tcPr>
            <w:tcW w:type="dxa" w:w="1234"/>
          </w:tcPr>
          <w:p>
            <w:r>
              <w:t>$</w:t>
            </w:r>
          </w:p>
        </w:tc>
        <w:tc>
          <w:tcPr>
            <w:tcW w:type="dxa" w:w="1234"/>
          </w:tcPr>
          <w:p>
            <w:r>
              <w:t>600,790</w:t>
            </w:r>
          </w:p>
        </w:tc>
        <w:tc>
          <w:tcPr>
            <w:tcW w:type="dxa" w:w="1234"/>
          </w:tcPr>
          <w:p>
            <w:r>
              <w:t>$</w:t>
            </w:r>
          </w:p>
        </w:tc>
        <w:tc>
          <w:tcPr>
            <w:tcW w:type="dxa" w:w="1234"/>
          </w:tcPr>
          <w:p>
            <w:r>
              <w:t>205,535</w:t>
            </w:r>
          </w:p>
        </w:tc>
      </w:tr>
      <w:tr>
        <w:tc>
          <w:tcPr>
            <w:tcW w:type="dxa" w:w="1234"/>
          </w:tcPr>
          <w:p>
            <w:r>
              <w:t>Marigold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348,692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426,288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409,746</w:t>
            </w:r>
          </w:p>
        </w:tc>
      </w:tr>
      <w:tr>
        <w:tc>
          <w:tcPr>
            <w:tcW w:type="dxa" w:w="1234"/>
          </w:tcPr>
          <w:p>
            <w:r>
              <w:t>Seabee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244,581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213,766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135,177</w:t>
            </w:r>
          </w:p>
        </w:tc>
      </w:tr>
      <w:tr>
        <w:tc>
          <w:tcPr>
            <w:tcW w:type="dxa" w:w="1234"/>
          </w:tcPr>
          <w:p>
            <w:r>
              <w:t>Concentrate sales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Puna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201,859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229,959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105,350</w:t>
            </w:r>
          </w:p>
        </w:tc>
      </w:tr>
      <w:tr>
        <w:tc>
          <w:tcPr>
            <w:tcW w:type="dxa" w:w="1234"/>
          </w:tcPr>
          <w:p>
            <w:r>
              <w:t>Other ()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Copler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2,330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7,097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Marigold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125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103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53</w:t>
            </w:r>
          </w:p>
        </w:tc>
      </w:tr>
      <w:tr>
        <w:tc>
          <w:tcPr>
            <w:tcW w:type="dxa" w:w="1234"/>
          </w:tcPr>
          <w:p>
            <w:r>
              <w:t>Seabee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111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53</w:t>
            </w:r>
          </w:p>
        </w:tc>
      </w:tr>
      <w:tr>
        <w:tc>
          <w:tcPr>
            <w:tcW w:type="dxa" w:w="1234"/>
          </w:tcPr>
          <w:p>
            <w:r>
              <w:t>Puna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2,405)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3,898)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(2,825)</w:t>
            </w:r>
          </w:p>
        </w:tc>
      </w:tr>
      <w:tr>
        <w:tc>
          <w:tcPr>
            <w:tcW w:type="dxa" w:w="1234"/>
          </w:tcPr>
          <w:p>
            <w:r>
              <w:t>Total</w:t>
            </w:r>
          </w:p>
        </w:tc>
        <w:tc>
          <w:tcPr>
            <w:tcW w:type="dxa" w:w="1234"/>
          </w:tcPr>
          <w:p>
            <w:r>
              <w:t>$</w:t>
            </w:r>
          </w:p>
        </w:tc>
        <w:tc>
          <w:tcPr>
            <w:tcW w:type="dxa" w:w="1234"/>
          </w:tcPr>
          <w:p>
            <w:r>
              <w:t>1,148,033</w:t>
            </w:r>
          </w:p>
        </w:tc>
        <w:tc>
          <w:tcPr>
            <w:tcW w:type="dxa" w:w="1234"/>
          </w:tcPr>
          <w:p>
            <w:r>
              <w:t>$</w:t>
            </w:r>
          </w:p>
        </w:tc>
        <w:tc>
          <w:tcPr>
            <w:tcW w:type="dxa" w:w="1234"/>
          </w:tcPr>
          <w:p>
            <w:r>
              <w:t>1,474,199</w:t>
            </w:r>
          </w:p>
        </w:tc>
        <w:tc>
          <w:tcPr>
            <w:tcW w:type="dxa" w:w="1234"/>
          </w:tcPr>
          <w:p>
            <w:r>
              <w:t>$</w:t>
            </w:r>
          </w:p>
        </w:tc>
        <w:tc>
          <w:tcPr>
            <w:tcW w:type="dxa" w:w="1234"/>
          </w:tcPr>
          <w:p>
            <w:r>
              <w:t>853,089</w:t>
            </w:r>
          </w:p>
        </w:tc>
      </w:tr>
    </w:tbl>
    <w:p>
      <w:pPr>
        <w:ind w:firstLine="360"/>
      </w:pPr>
      <w:r>
        <w:rPr>
          <w:sz w:val="20"/>
        </w:rPr>
        <w:t xml:space="preserve">Other revenue includes: changes in the fair value of concentrate trade receivables due to changes in silver and base metal prices; and sil </w:t>
      </w:r>
      <w:r>
        <w:rPr>
          <w:sz w:val="20"/>
        </w:rPr>
        <w:t xml:space="preserve">and copper by-product revenue arising from the production and sale of gold dore.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Revenue by metal</w:t>
      </w:r>
    </w:p>
    <w:p>
      <w:pPr>
        <w:ind w:firstLine="360"/>
      </w:pPr>
      <w:r>
        <w:rPr>
          <w:sz w:val="20"/>
        </w:rPr>
        <w:t xml:space="preserve">Revenue by metal type for the </w:t>
      </w:r>
      <w:r>
        <w:rPr>
          <w:sz w:val="20"/>
        </w:rPr>
        <w:t xml:space="preserve">ended December 31,are as follows (in thousands)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2468"/>
            <w:gridSpan w:val="2"/>
          </w:tcPr>
          <w:p>
            <w:r>
              <w:t>2022</w:t>
            </w:r>
          </w:p>
        </w:tc>
        <w:tc>
          <w:tcPr>
            <w:tcW w:type="dxa" w:w="2468"/>
            <w:gridSpan w:val="2"/>
          </w:tcPr>
          <w:p>
            <w:r>
              <w:t>2021</w:t>
            </w:r>
          </w:p>
        </w:tc>
        <w:tc>
          <w:tcPr>
            <w:tcW w:type="dxa" w:w="2468"/>
            <w:gridSpan w:val="2"/>
          </w:tcPr>
          <w:p>
            <w:r>
              <w:t>2020</w:t>
            </w:r>
          </w:p>
        </w:tc>
      </w:tr>
      <w:tr>
        <w:tc>
          <w:tcPr>
            <w:tcW w:type="dxa" w:w="1234"/>
          </w:tcPr>
          <w:p>
            <w:r>
              <w:t>Gold</w:t>
            </w:r>
          </w:p>
        </w:tc>
        <w:tc>
          <w:tcPr>
            <w:tcW w:type="dxa" w:w="1234"/>
          </w:tcPr>
          <w:p>
            <w:r>
              <w:t>$</w:t>
            </w:r>
          </w:p>
        </w:tc>
        <w:tc>
          <w:tcPr>
            <w:tcW w:type="dxa" w:w="1234"/>
          </w:tcPr>
          <w:p>
            <w:r>
              <w:t>946,013</w:t>
            </w:r>
          </w:p>
        </w:tc>
        <w:tc>
          <w:tcPr>
            <w:tcW w:type="dxa" w:w="1234"/>
          </w:tcPr>
          <w:p>
            <w:r>
              <w:t>$</w:t>
            </w:r>
          </w:p>
        </w:tc>
        <w:tc>
          <w:tcPr>
            <w:tcW w:type="dxa" w:w="1234"/>
          </w:tcPr>
          <w:p>
            <w:r>
              <w:t>1,240,844</w:t>
            </w:r>
          </w:p>
        </w:tc>
        <w:tc>
          <w:tcPr>
            <w:tcW w:type="dxa" w:w="1234"/>
          </w:tcPr>
          <w:p>
            <w:r>
              <w:t>$</w:t>
            </w:r>
          </w:p>
        </w:tc>
        <w:tc>
          <w:tcPr>
            <w:tcW w:type="dxa" w:w="1234"/>
          </w:tcPr>
          <w:p>
            <w:r>
              <w:t>750,458</w:t>
            </w:r>
          </w:p>
        </w:tc>
      </w:tr>
      <w:tr>
        <w:tc>
          <w:tcPr>
            <w:tcW w:type="dxa" w:w="1234"/>
          </w:tcPr>
          <w:p>
            <w:r>
              <w:t>Silver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153,280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183,378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92,260</w:t>
            </w:r>
          </w:p>
        </w:tc>
      </w:tr>
      <w:tr>
        <w:tc>
          <w:tcPr>
            <w:tcW w:type="dxa" w:w="1234"/>
          </w:tcPr>
          <w:p>
            <w:r>
              <w:t>Lead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37,519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33,070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8,815</w:t>
            </w:r>
          </w:p>
        </w:tc>
      </w:tr>
      <w:tr>
        <w:tc>
          <w:tcPr>
            <w:tcW w:type="dxa" w:w="1234"/>
          </w:tcPr>
          <w:p>
            <w:r>
              <w:t>Zinc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11,060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13,511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4,275</w:t>
            </w:r>
          </w:p>
        </w:tc>
      </w:tr>
      <w:tr>
        <w:tc>
          <w:tcPr>
            <w:tcW w:type="dxa" w:w="1234"/>
          </w:tcPr>
          <w:p>
            <w:r>
              <w:t>Other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161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3,396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2,719)</w:t>
            </w:r>
          </w:p>
        </w:tc>
      </w:tr>
      <w:tr>
        <w:tc>
          <w:tcPr>
            <w:tcW w:type="dxa" w:w="1234"/>
          </w:tcPr>
          <w:p>
            <w:r>
              <w:t>Total</w:t>
            </w:r>
          </w:p>
        </w:tc>
        <w:tc>
          <w:tcPr>
            <w:tcW w:type="dxa" w:w="1234"/>
          </w:tcPr>
          <w:p>
            <w:r>
              <w:t>$</w:t>
            </w:r>
          </w:p>
        </w:tc>
        <w:tc>
          <w:tcPr>
            <w:tcW w:type="dxa" w:w="1234"/>
          </w:tcPr>
          <w:p>
            <w:r>
              <w:t>1,148,033</w:t>
            </w:r>
          </w:p>
        </w:tc>
        <w:tc>
          <w:tcPr>
            <w:tcW w:type="dxa" w:w="1234"/>
          </w:tcPr>
          <w:p>
            <w:r>
              <w:t>$</w:t>
            </w:r>
          </w:p>
        </w:tc>
        <w:tc>
          <w:tcPr>
            <w:tcW w:type="dxa" w:w="1234"/>
          </w:tcPr>
          <w:p>
            <w:r>
              <w:t>1,474,199</w:t>
            </w:r>
          </w:p>
        </w:tc>
        <w:tc>
          <w:tcPr>
            <w:tcW w:type="dxa" w:w="1234"/>
          </w:tcPr>
          <w:p>
            <w:r>
              <w:t>$</w:t>
            </w:r>
          </w:p>
        </w:tc>
        <w:tc>
          <w:tcPr>
            <w:tcW w:type="dxa" w:w="1234"/>
          </w:tcPr>
          <w:p>
            <w:r>
              <w:t>853,089</w:t>
            </w:r>
          </w:p>
        </w:tc>
      </w:tr>
    </w:tbl>
    <w:p>
      <w:pPr>
        <w:ind w:firstLine="360"/>
      </w:pPr>
      <w:r>
        <w:rPr>
          <w:sz w:val="20"/>
        </w:rPr>
        <w:t xml:space="preserve">ring 2022,sales to Central Bank of Turkiye,CIBC,and Bank of Montreal accounted for 31%28% and 16% </w:t>
      </w:r>
      <w:r>
        <w:rPr>
          <w:sz w:val="20"/>
        </w:rPr>
        <w:t xml:space="preserve">Company's total revenues, respectively.During 2021,sales to Central Bank of Turkiye and CIBC accounted </w:t>
      </w:r>
      <w:r>
        <w:rPr>
          <w:sz w:val="20"/>
        </w:rPr>
        <w:t xml:space="preserve">% and 30% of the Company's total revenues, respectively.During 2020, sales to CIBC, Central Bank of Turki </w:t>
      </w:r>
      <w:r>
        <w:rPr>
          <w:sz w:val="20"/>
        </w:rPr>
        <w:t xml:space="preserve">d Bank of Montreal accounted for 45%,24%,and 14%,of the Company's total revenues, respectively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