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29. Segment reporting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has determined that there is one reportable segment, asset management services.Geographical </w:t>
      </w:r>
      <w:r>
        <w:rPr>
          <w:sz w:val="20"/>
        </w:rPr>
        <w:t xml:space="preserve">or the Company is provided in the following table: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Revenues: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5760"/>
            <w:gridSpan w:val="2"/>
          </w:tcPr>
          <w:p>
            <w:r>
              <w:t>For the years ended December 31,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</w:tr>
      <w:tr>
        <w:tc>
          <w:tcPr>
            <w:tcW w:type="dxa" w:w="2880"/>
          </w:tcPr>
          <w:p>
            <w:r>
              <w:t>Canada</w:t>
            </w:r>
          </w:p>
        </w:tc>
        <w:tc>
          <w:tcPr>
            <w:tcW w:type="dxa" w:w="2880"/>
          </w:tcPr>
          <w:p>
            <w:r>
              <w:t>415,856</w:t>
            </w:r>
          </w:p>
        </w:tc>
        <w:tc>
          <w:tcPr>
            <w:tcW w:type="dxa" w:w="2880"/>
          </w:tcPr>
          <w:p>
            <w:r>
              <w:t>400,448</w:t>
            </w:r>
          </w:p>
        </w:tc>
      </w:tr>
      <w:tr>
        <w:tc>
          <w:tcPr>
            <w:tcW w:type="dxa" w:w="2880"/>
          </w:tcPr>
          <w:p>
            <w:r>
              <w:t>United States of America.</w:t>
            </w:r>
          </w:p>
        </w:tc>
        <w:tc>
          <w:tcPr>
            <w:tcW w:type="dxa" w:w="2880"/>
          </w:tcPr>
          <w:p>
            <w:r>
              <w:t>152,866</w:t>
            </w:r>
          </w:p>
        </w:tc>
        <w:tc>
          <w:tcPr>
            <w:tcW w:type="dxa" w:w="2880"/>
          </w:tcPr>
          <w:p>
            <w:r>
              <w:t>194,456</w:t>
            </w:r>
          </w:p>
        </w:tc>
      </w:tr>
      <w:tr>
        <w:tc>
          <w:tcPr>
            <w:tcW w:type="dxa" w:w="2880"/>
          </w:tcPr>
          <w:p>
            <w:r>
              <w:t>Europe and other</w:t>
            </w:r>
          </w:p>
        </w:tc>
        <w:tc>
          <w:tcPr>
            <w:tcW w:type="dxa" w:w="2880"/>
          </w:tcPr>
          <w:p>
            <w:r>
              <w:t>112,717 681,439</w:t>
            </w:r>
          </w:p>
        </w:tc>
        <w:tc>
          <w:tcPr>
            <w:tcW w:type="dxa" w:w="2880"/>
          </w:tcPr>
          <w:p>
            <w:r>
              <w:t>154,967 749,871</w:t>
            </w:r>
          </w:p>
        </w:tc>
      </w:tr>
    </w:tbl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For the years ended December 31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arative amounts in the above table have been reclassified in order to conform to the 2022 fi </w:t>
      </w:r>
      <w:r>
        <w:rPr>
          <w:sz w:val="20"/>
        </w:rPr>
        <w:t xml:space="preserve">nent presentation.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Non-current assets: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As at December 31,2022</w:t>
            </w:r>
          </w:p>
        </w:tc>
        <w:tc>
          <w:tcPr>
            <w:tcW w:type="dxa" w:w="2880"/>
          </w:tcPr>
          <w:p>
            <w:r>
              <w:t>As at December 31,2021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</w:tr>
      <w:tr>
        <w:tc>
          <w:tcPr>
            <w:tcW w:type="dxa" w:w="2880"/>
          </w:tcPr>
          <w:p>
            <w:r>
              <w:t>Canada</w:t>
            </w:r>
          </w:p>
        </w:tc>
        <w:tc>
          <w:tcPr>
            <w:tcW w:type="dxa" w:w="2880"/>
          </w:tcPr>
          <w:p>
            <w:r>
              <w:t>680,532</w:t>
            </w:r>
          </w:p>
        </w:tc>
        <w:tc>
          <w:tcPr>
            <w:tcW w:type="dxa" w:w="2880"/>
          </w:tcPr>
          <w:p>
            <w:r>
              <w:t>711,242</w:t>
            </w:r>
          </w:p>
        </w:tc>
      </w:tr>
      <w:tr>
        <w:tc>
          <w:tcPr>
            <w:tcW w:type="dxa" w:w="2880"/>
          </w:tcPr>
          <w:p>
            <w:r>
              <w:t>United States of America</w:t>
            </w:r>
          </w:p>
        </w:tc>
        <w:tc>
          <w:tcPr>
            <w:tcW w:type="dxa" w:w="2880"/>
          </w:tcPr>
          <w:p>
            <w:r>
              <w:t>189,832</w:t>
            </w:r>
          </w:p>
        </w:tc>
        <w:tc>
          <w:tcPr>
            <w:tcW w:type="dxa" w:w="2880"/>
          </w:tcPr>
          <w:p>
            <w:r>
              <w:t>191,791</w:t>
            </w:r>
          </w:p>
        </w:tc>
      </w:tr>
      <w:tr>
        <w:tc>
          <w:tcPr>
            <w:tcW w:type="dxa" w:w="2880"/>
          </w:tcPr>
          <w:p>
            <w:r>
              <w:t xml:space="preserve"> Europe and other</w:t>
            </w:r>
          </w:p>
        </w:tc>
        <w:tc>
          <w:tcPr>
            <w:tcW w:type="dxa" w:w="2880"/>
          </w:tcPr>
          <w:p>
            <w:r>
              <w:t>148,793</w:t>
            </w:r>
          </w:p>
        </w:tc>
        <w:tc>
          <w:tcPr>
            <w:tcW w:type="dxa" w:w="2880"/>
          </w:tcPr>
          <w:p>
            <w:r>
              <w:t>154,168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1,019,157</w:t>
            </w:r>
          </w:p>
        </w:tc>
        <w:tc>
          <w:tcPr>
            <w:tcW w:type="dxa" w:w="2880"/>
          </w:tcPr>
          <w:p>
            <w:r>
              <w:t>1,057,201</w:t>
            </w:r>
          </w:p>
        </w:tc>
      </w:tr>
    </w:tbl>
    <w:p>
      <w:pPr>
        <w:ind w:firstLine="360"/>
      </w:pPr>
      <w:r>
        <w:rPr>
          <w:sz w:val="20"/>
        </w:rPr>
        <w:t xml:space="preserve">attributed to countries on the basis of the client's location.As at December 31,2022,non-current </w:t>
      </w:r>
      <w:r>
        <w:rPr>
          <w:sz w:val="20"/>
        </w:rPr>
        <w:t xml:space="preserve">ted above exclude long-term investments of $6,574,deferred income taxes of $32,164 and other </w:t>
      </w:r>
      <w:r>
        <w:rPr>
          <w:sz w:val="20"/>
        </w:rPr>
        <w:t xml:space="preserve">ssets of$21,159 ($5,739,$31,179 and$28,660respectively as at December31,2021)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</w:pPr>
      <w:r>
        <w:t>80. Subsequent events</w:t>
      </w:r>
    </w:p>
    <w:p>
      <w:pPr>
        <w:pStyle w:val="Heading1"/>
      </w:pPr>
      <w:r>
        <w:t>Leadership Change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uary 23, 2023, Jean-Guy Desjardins, Chairman of the Board of Directors of Fiera Capital, was re-app </w:t>
      </w:r>
      <w:r>
        <w:rPr>
          <w:sz w:val="20"/>
        </w:rPr>
        <w:t xml:space="preserve">ef Executive Officer, effective immediately. </w:t>
      </w:r>
    </w:p>
    <w:p>
      <w:pPr>
        <w:ind w:firstLine="360"/>
      </w:pPr>
      <w:r>
        <w:rPr>
          <w:sz w:val="20"/>
        </w:rPr>
        <w:t xml:space="preserve">23,2023, the Board declared a quarterly dividend of $0.215 per Class A Share and Class B Share </w:t>
      </w:r>
      <w:r>
        <w:rPr>
          <w:sz w:val="20"/>
        </w:rPr>
        <w:t xml:space="preserve">oril 5,2023 to shareholders of record at the close of business on March 8,2023.The dividend is an </w:t>
      </w:r>
      <w:r>
        <w:rPr>
          <w:sz w:val="20"/>
        </w:rPr>
        <w:t xml:space="preserve">nd for income tax purposes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