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erwriting risk, and there were no changes to the framework used to monitor, evaluate and manage underwri </w:t>
      </w:r>
      <w:r>
        <w:rPr>
          <w:sz w:val="20"/>
        </w:rPr>
        <w:t xml:space="preserve">at December312022 comparedto December31,2021.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Principal lines of business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Property, which insures against losses to property from among other things) fire,explosion,natural perils fo </w:t>
      </w:r>
      <w:r>
        <w:rPr>
          <w:sz w:val="20"/>
        </w:rPr>
        <w:t xml:space="preserve">example, earthquake, windstorm and flood),terrorism and engineering problems (for example, boiler explosion </w:t>
      </w:r>
      <w:r>
        <w:rPr>
          <w:sz w:val="20"/>
        </w:rPr>
        <w:t xml:space="preserve">machinery breakdown and construction defects). Specific types of property risks underwritten by the company </w:t>
      </w:r>
      <w:r>
        <w:rPr>
          <w:sz w:val="20"/>
        </w:rPr>
        <w:t xml:space="preserve">include automobile, commercial and personal property and crop; </w:t>
      </w:r>
      <w:r>
        <w:rPr>
          <w:sz w:val="20"/>
        </w:rPr>
        <w:t xml:space="preserve">Casualty, which insures against accidents (including workers' compensation and automobile) and also includes </w:t>
      </w:r>
      <w:r>
        <w:rPr>
          <w:sz w:val="20"/>
        </w:rPr>
        <w:t xml:space="preserve">employers' liability, accident and health, medical malpractice, professional liability and umbrella coverage; and </w:t>
      </w:r>
      <w:r>
        <w:rPr>
          <w:sz w:val="20"/>
        </w:rPr>
        <w:t xml:space="preserve"> </w:t>
      </w:r>
      <w:r>
        <w:rPr>
          <w:sz w:val="20"/>
        </w:rPr>
        <w:t xml:space="preserve">Specialty, which insures against marine, aerospace and surety risk, and other various risks and liabilities that are </w:t>
      </w:r>
      <w:r>
        <w:rPr>
          <w:sz w:val="20"/>
        </w:rPr>
        <w:t xml:space="preserve">not identified above.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is.ot net premiums. 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T'he table that follows shows the company's concentration of insurance risk by region and line of business based </w:t>
      </w:r>
      <w:r>
        <w:rPr>
          <w:sz w:val="20"/>
        </w:rPr>
        <w:t xml:space="preserve">on gross premiums written prior to giving effect to ceded reinsurance premiums.The company's exposure to </w:t>
      </w:r>
      <w:r>
        <w:rPr>
          <w:sz w:val="20"/>
        </w:rPr>
        <w:t xml:space="preserve">general insurance risk varies by geographic region and may change over time.Premiums ceded to reinsurers </w:t>
      </w:r>
      <w:r>
        <w:rPr>
          <w:sz w:val="20"/>
        </w:rPr>
        <w:t xml:space="preserve">including retrocessions) in 2022 by line of business was comprised of property of$1,938.52021-$1,717.4) </w:t>
      </w:r>
      <w:r>
        <w:rPr>
          <w:sz w:val="20"/>
        </w:rPr>
        <w:t xml:space="preserve">casualtyof$3256.62021-$3487.7and specialty of$439.22021-$423.4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1728"/>
            <w:gridSpan w:val="2"/>
          </w:tcPr>
          <w:p>
            <w:r>
              <w:t>Canada</w:t>
            </w:r>
          </w:p>
        </w:tc>
        <w:tc>
          <w:tcPr>
            <w:tcW w:type="dxa" w:w="1728"/>
            <w:gridSpan w:val="2"/>
          </w:tcPr>
          <w:p>
            <w:r>
              <w:t>United States</w:t>
            </w:r>
          </w:p>
        </w:tc>
        <w:tc>
          <w:tcPr>
            <w:tcW w:type="dxa" w:w="1728"/>
            <w:gridSpan w:val="2"/>
          </w:tcPr>
          <w:p>
            <w:r>
              <w:t>Asia(1)</w:t>
            </w:r>
          </w:p>
        </w:tc>
        <w:tc>
          <w:tcPr>
            <w:tcW w:type="dxa" w:w="1728"/>
            <w:gridSpan w:val="2"/>
          </w:tcPr>
          <w:p>
            <w:r>
              <w:t>International(2)</w:t>
            </w:r>
          </w:p>
        </w:tc>
        <w:tc>
          <w:tcPr>
            <w:tcW w:type="dxa" w:w="1728"/>
            <w:gridSpan w:val="2"/>
          </w:tcPr>
          <w:p>
            <w:r>
              <w:t>Total(3)</w:t>
            </w:r>
          </w:p>
        </w:tc>
      </w:tr>
      <w:tr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2021</w:t>
            </w:r>
          </w:p>
        </w:tc>
      </w:tr>
      <w:tr>
        <w:tc>
          <w:tcPr>
            <w:tcW w:type="dxa" w:w="864"/>
          </w:tcPr>
          <w:p>
            <w:r>
              <w:t>1,343.7</w:t>
            </w:r>
          </w:p>
        </w:tc>
        <w:tc>
          <w:tcPr>
            <w:tcW w:type="dxa" w:w="864"/>
          </w:tcPr>
          <w:p>
            <w:r>
              <w:t>1,229.1</w:t>
            </w:r>
          </w:p>
        </w:tc>
        <w:tc>
          <w:tcPr>
            <w:tcW w:type="dxa" w:w="864"/>
          </w:tcPr>
          <w:p>
            <w:r>
              <w:t>4,966.1</w:t>
            </w:r>
          </w:p>
        </w:tc>
        <w:tc>
          <w:tcPr>
            <w:tcW w:type="dxa" w:w="864"/>
          </w:tcPr>
          <w:p>
            <w:r>
              <w:t>3,912.4</w:t>
            </w:r>
          </w:p>
        </w:tc>
        <w:tc>
          <w:tcPr>
            <w:tcW w:type="dxa" w:w="864"/>
          </w:tcPr>
          <w:p>
            <w:r>
              <w:t>984.5</w:t>
            </w:r>
          </w:p>
        </w:tc>
        <w:tc>
          <w:tcPr>
            <w:tcW w:type="dxa" w:w="864"/>
          </w:tcPr>
          <w:p>
            <w:r>
              <w:t>849.2</w:t>
            </w:r>
          </w:p>
        </w:tc>
        <w:tc>
          <w:tcPr>
            <w:tcW w:type="dxa" w:w="864"/>
          </w:tcPr>
          <w:p>
            <w:r>
              <w:t>2,418.22,141.9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9,712.5</w:t>
            </w:r>
          </w:p>
        </w:tc>
        <w:tc>
          <w:tcPr>
            <w:tcW w:type="dxa" w:w="864"/>
          </w:tcPr>
          <w:p>
            <w:r>
              <w:t>8,132.6</w:t>
            </w:r>
          </w:p>
        </w:tc>
      </w:tr>
      <w:tr>
        <w:tc>
          <w:tcPr>
            <w:tcW w:type="dxa" w:w="864"/>
          </w:tcPr>
          <w:p>
            <w:r>
              <w:t>1,243.4</w:t>
            </w:r>
          </w:p>
        </w:tc>
        <w:tc>
          <w:tcPr>
            <w:tcW w:type="dxa" w:w="864"/>
          </w:tcPr>
          <w:p>
            <w:r>
              <w:t xml:space="preserve">41,159.0 </w:t>
            </w:r>
          </w:p>
        </w:tc>
        <w:tc>
          <w:tcPr>
            <w:tcW w:type="dxa" w:w="864"/>
          </w:tcPr>
          <w:p>
            <w:r>
              <w:t>12,004.9</w:t>
            </w:r>
          </w:p>
        </w:tc>
        <w:tc>
          <w:tcPr>
            <w:tcW w:type="dxa" w:w="864"/>
          </w:tcPr>
          <w:p>
            <w:r>
              <w:t>10,364.0</w:t>
            </w:r>
          </w:p>
        </w:tc>
        <w:tc>
          <w:tcPr>
            <w:tcW w:type="dxa" w:w="864"/>
          </w:tcPr>
          <w:p>
            <w:r>
              <w:t>606.6</w:t>
            </w:r>
          </w:p>
        </w:tc>
        <w:tc>
          <w:tcPr>
            <w:tcW w:type="dxa" w:w="864"/>
          </w:tcPr>
          <w:p>
            <w:r>
              <w:t>549.8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1,823.01,659.515,677.9</w:t>
            </w:r>
          </w:p>
        </w:tc>
        <w:tc>
          <w:tcPr>
            <w:tcW w:type="dxa" w:w="864"/>
          </w:tcPr>
          <w:p>
            <w:r>
              <w:t>13,732.3</w:t>
            </w:r>
          </w:p>
        </w:tc>
      </w:tr>
      <w:tr>
        <w:tc>
          <w:tcPr>
            <w:tcW w:type="dxa" w:w="864"/>
          </w:tcPr>
          <w:p>
            <w:r>
              <w:t>258.3</w:t>
            </w:r>
          </w:p>
        </w:tc>
        <w:tc>
          <w:tcPr>
            <w:tcW w:type="dxa" w:w="864"/>
          </w:tcPr>
          <w:p>
            <w:r>
              <w:t>223.3</w:t>
            </w:r>
          </w:p>
        </w:tc>
        <w:tc>
          <w:tcPr>
            <w:tcW w:type="dxa" w:w="864"/>
          </w:tcPr>
          <w:p>
            <w:r>
              <w:t>871.6</w:t>
            </w:r>
          </w:p>
        </w:tc>
        <w:tc>
          <w:tcPr>
            <w:tcW w:type="dxa" w:w="864"/>
          </w:tcPr>
          <w:p>
            <w:r>
              <w:t>755.6</w:t>
            </w:r>
          </w:p>
        </w:tc>
        <w:tc>
          <w:tcPr>
            <w:tcW w:type="dxa" w:w="864"/>
          </w:tcPr>
          <w:p>
            <w:r>
              <w:t>343.2</w:t>
            </w:r>
          </w:p>
        </w:tc>
        <w:tc>
          <w:tcPr>
            <w:tcW w:type="dxa" w:w="864"/>
          </w:tcPr>
          <w:p>
            <w:r>
              <w:t>277.4</w:t>
            </w:r>
          </w:p>
        </w:tc>
        <w:tc>
          <w:tcPr>
            <w:tcW w:type="dxa" w:w="864"/>
          </w:tcPr>
          <w:p>
            <w:r>
              <w:t>698.2</w:t>
            </w:r>
          </w:p>
        </w:tc>
        <w:tc>
          <w:tcPr>
            <w:tcW w:type="dxa" w:w="864"/>
          </w:tcPr>
          <w:p>
            <w:r>
              <w:t>674.8</w:t>
            </w:r>
          </w:p>
        </w:tc>
        <w:tc>
          <w:tcPr>
            <w:tcW w:type="dxa" w:w="864"/>
          </w:tcPr>
          <w:p>
            <w:r>
              <w:t>2,171.3</w:t>
            </w:r>
          </w:p>
        </w:tc>
        <w:tc>
          <w:tcPr>
            <w:tcW w:type="dxa" w:w="864"/>
          </w:tcPr>
          <w:p>
            <w:r>
              <w:t>1,931.1</w:t>
            </w:r>
          </w:p>
        </w:tc>
      </w:tr>
      <w:tr>
        <w:tc>
          <w:tcPr>
            <w:tcW w:type="dxa" w:w="864"/>
          </w:tcPr>
          <w:p>
            <w:r>
              <w:t>2,845.4</w:t>
            </w:r>
          </w:p>
        </w:tc>
        <w:tc>
          <w:tcPr>
            <w:tcW w:type="dxa" w:w="864"/>
          </w:tcPr>
          <w:p>
            <w:r>
              <w:t>2,611.4</w:t>
            </w:r>
          </w:p>
        </w:tc>
        <w:tc>
          <w:tcPr>
            <w:tcW w:type="dxa" w:w="864"/>
          </w:tcPr>
          <w:p>
            <w:r>
              <w:t>17,842.6</w:t>
            </w:r>
          </w:p>
        </w:tc>
        <w:tc>
          <w:tcPr>
            <w:tcW w:type="dxa" w:w="864"/>
          </w:tcPr>
          <w:p>
            <w:r>
              <w:t>15,032.0</w:t>
            </w:r>
          </w:p>
        </w:tc>
        <w:tc>
          <w:tcPr>
            <w:tcW w:type="dxa" w:w="864"/>
          </w:tcPr>
          <w:p>
            <w:r>
              <w:t>1,934.3</w:t>
            </w:r>
          </w:p>
        </w:tc>
        <w:tc>
          <w:tcPr>
            <w:tcW w:type="dxa" w:w="864"/>
          </w:tcPr>
          <w:p>
            <w:r>
              <w:t>1,676.4</w:t>
            </w:r>
          </w:p>
        </w:tc>
        <w:tc>
          <w:tcPr>
            <w:tcW w:type="dxa" w:w="864"/>
          </w:tcPr>
          <w:p>
            <w:r>
              <w:t>4,939.4</w:t>
            </w:r>
          </w:p>
        </w:tc>
        <w:tc>
          <w:tcPr>
            <w:tcW w:type="dxa" w:w="864"/>
          </w:tcPr>
          <w:p>
            <w:r>
              <w:t>4,476.2</w:t>
            </w:r>
          </w:p>
        </w:tc>
        <w:tc>
          <w:tcPr>
            <w:tcW w:type="dxa" w:w="864"/>
          </w:tcPr>
          <w:p>
            <w:r>
              <w:t>27,561.7</w:t>
            </w:r>
          </w:p>
        </w:tc>
        <w:tc>
          <w:tcPr>
            <w:tcW w:type="dxa" w:w="864"/>
          </w:tcPr>
          <w:p>
            <w:r>
              <w:t>23,796.0</w:t>
            </w:r>
          </w:p>
        </w:tc>
      </w:tr>
      <w:tr>
        <w:tc>
          <w:tcPr>
            <w:tcW w:type="dxa" w:w="864"/>
          </w:tcPr>
          <w:p>
            <w:r>
              <w:t>2,686.2</w:t>
            </w:r>
          </w:p>
        </w:tc>
        <w:tc>
          <w:tcPr>
            <w:tcW w:type="dxa" w:w="864"/>
          </w:tcPr>
          <w:p>
            <w:r>
              <w:t>2,475.1</w:t>
            </w:r>
          </w:p>
        </w:tc>
        <w:tc>
          <w:tcPr>
            <w:tcW w:type="dxa" w:w="864"/>
          </w:tcPr>
          <w:p>
            <w:r>
              <w:t>13,080.8</w:t>
            </w:r>
          </w:p>
        </w:tc>
        <w:tc>
          <w:tcPr>
            <w:tcW w:type="dxa" w:w="864"/>
          </w:tcPr>
          <w:p>
            <w:r>
              <w:t>11,448.6</w:t>
            </w:r>
          </w:p>
        </w:tc>
        <w:tc>
          <w:tcPr>
            <w:tcW w:type="dxa" w:w="864"/>
          </w:tcPr>
          <w:p>
            <w:r>
              <w:t>789.8</w:t>
            </w:r>
          </w:p>
        </w:tc>
        <w:tc>
          <w:tcPr>
            <w:tcW w:type="dxa" w:w="864"/>
          </w:tcPr>
          <w:p>
            <w:r>
              <w:t>739.7</w:t>
            </w:r>
          </w:p>
        </w:tc>
        <w:tc>
          <w:tcPr>
            <w:tcW w:type="dxa" w:w="864"/>
          </w:tcPr>
          <w:p>
            <w:r>
              <w:t>3,608.6</w:t>
            </w:r>
          </w:p>
        </w:tc>
        <w:tc>
          <w:tcPr>
            <w:tcW w:type="dxa" w:w="864"/>
          </w:tcPr>
          <w:p>
            <w:r>
              <w:t>3,341.0</w:t>
            </w:r>
          </w:p>
        </w:tc>
        <w:tc>
          <w:tcPr>
            <w:tcW w:type="dxa" w:w="864"/>
          </w:tcPr>
          <w:p>
            <w:r>
              <w:t>20,165.4</w:t>
            </w:r>
          </w:p>
        </w:tc>
        <w:tc>
          <w:tcPr>
            <w:tcW w:type="dxa" w:w="864"/>
          </w:tcPr>
          <w:p>
            <w:r>
              <w:t>18,004.4</w:t>
            </w:r>
          </w:p>
        </w:tc>
      </w:tr>
      <w:tr>
        <w:tc>
          <w:tcPr>
            <w:tcW w:type="dxa" w:w="864"/>
          </w:tcPr>
          <w:p>
            <w:r>
              <w:t>159.2</w:t>
            </w:r>
          </w:p>
        </w:tc>
        <w:tc>
          <w:tcPr>
            <w:tcW w:type="dxa" w:w="864"/>
          </w:tcPr>
          <w:p>
            <w:r>
              <w:t>136.3</w:t>
            </w:r>
          </w:p>
        </w:tc>
        <w:tc>
          <w:tcPr>
            <w:tcW w:type="dxa" w:w="864"/>
          </w:tcPr>
          <w:p>
            <w:r>
              <w:t>4,761.8</w:t>
            </w:r>
          </w:p>
        </w:tc>
        <w:tc>
          <w:tcPr>
            <w:tcW w:type="dxa" w:w="864"/>
          </w:tcPr>
          <w:p>
            <w:r>
              <w:t>3,583.4</w:t>
            </w:r>
          </w:p>
        </w:tc>
        <w:tc>
          <w:tcPr>
            <w:tcW w:type="dxa" w:w="864"/>
          </w:tcPr>
          <w:p>
            <w:r>
              <w:t>1,144.5</w:t>
            </w:r>
          </w:p>
        </w:tc>
        <w:tc>
          <w:tcPr>
            <w:tcW w:type="dxa" w:w="864"/>
          </w:tcPr>
          <w:p>
            <w:r>
              <w:t>936.7</w:t>
            </w:r>
          </w:p>
        </w:tc>
        <w:tc>
          <w:tcPr>
            <w:tcW w:type="dxa" w:w="864"/>
          </w:tcPr>
          <w:p>
            <w:r>
              <w:t>1,330.8</w:t>
            </w:r>
          </w:p>
        </w:tc>
        <w:tc>
          <w:tcPr>
            <w:tcW w:type="dxa" w:w="864"/>
          </w:tcPr>
          <w:p>
            <w:r>
              <w:t>1,135.2</w:t>
            </w:r>
          </w:p>
        </w:tc>
        <w:tc>
          <w:tcPr>
            <w:tcW w:type="dxa" w:w="864"/>
          </w:tcPr>
          <w:p>
            <w:r>
              <w:t>7,396.3</w:t>
            </w:r>
          </w:p>
        </w:tc>
        <w:tc>
          <w:tcPr>
            <w:tcW w:type="dxa" w:w="864"/>
          </w:tcPr>
          <w:p>
            <w:r>
              <w:t>5,791.6</w:t>
            </w:r>
          </w:p>
        </w:tc>
      </w:tr>
      <w:tr>
        <w:tc>
          <w:tcPr>
            <w:tcW w:type="dxa" w:w="864"/>
          </w:tcPr>
          <w:p>
            <w:r>
              <w:t>2,845.4</w:t>
            </w:r>
          </w:p>
        </w:tc>
        <w:tc>
          <w:tcPr>
            <w:tcW w:type="dxa" w:w="864"/>
          </w:tcPr>
          <w:p>
            <w:r>
              <w:t>2,611.4</w:t>
            </w:r>
          </w:p>
        </w:tc>
        <w:tc>
          <w:tcPr>
            <w:tcW w:type="dxa" w:w="864"/>
          </w:tcPr>
          <w:p>
            <w:r>
              <w:t>17,842.6</w:t>
            </w:r>
          </w:p>
        </w:tc>
        <w:tc>
          <w:tcPr>
            <w:tcW w:type="dxa" w:w="864"/>
          </w:tcPr>
          <w:p>
            <w:r>
              <w:t>15,032.0</w:t>
            </w:r>
          </w:p>
        </w:tc>
        <w:tc>
          <w:tcPr>
            <w:tcW w:type="dxa" w:w="864"/>
          </w:tcPr>
          <w:p>
            <w:r>
              <w:t>1,934.3</w:t>
            </w:r>
          </w:p>
        </w:tc>
        <w:tc>
          <w:tcPr>
            <w:tcW w:type="dxa" w:w="864"/>
          </w:tcPr>
          <w:p>
            <w:r>
              <w:t>1,676.4</w:t>
            </w:r>
          </w:p>
        </w:tc>
        <w:tc>
          <w:tcPr>
            <w:tcW w:type="dxa" w:w="864"/>
          </w:tcPr>
          <w:p>
            <w:r>
              <w:t>4,939.4</w:t>
            </w:r>
          </w:p>
        </w:tc>
        <w:tc>
          <w:tcPr>
            <w:tcW w:type="dxa" w:w="864"/>
          </w:tcPr>
          <w:p>
            <w:r>
              <w:t>4,476.2</w:t>
            </w:r>
          </w:p>
        </w:tc>
        <w:tc>
          <w:tcPr>
            <w:tcW w:type="dxa" w:w="864"/>
          </w:tcPr>
          <w:p>
            <w:r>
              <w:t>27,561.7</w:t>
            </w:r>
          </w:p>
        </w:tc>
        <w:tc>
          <w:tcPr>
            <w:tcW w:type="dxa" w:w="864"/>
          </w:tcPr>
          <w:p>
            <w:r>
              <w:t>23,796.0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1) The Asia geograpbic segment is primarily comprised of countries located tbrougbout Asia, including Cbina,Japan,India, Sri Lanka </w:t>
      </w:r>
      <w:r>
        <w:rPr>
          <w:sz w:val="20"/>
        </w:rPr>
        <w:t xml:space="preserve">Malaysia, Singapore, Indonesia and South Korea, and the Middle East. </w:t>
      </w:r>
      <w:r>
        <w:rPr>
          <w:sz w:val="20"/>
        </w:rPr>
        <w:t xml:space="preserve">(2) Tbe International geograpbic segment is primarily comprised of countries located in South America, Europe, Africa and Oceania </w:t>
      </w:r>
      <w:r>
        <w:rPr>
          <w:sz w:val="20"/>
        </w:rPr>
        <w:t xml:space="preserve">3) Excludes Eurolife's life insurance operations'gross premiums written of$350.9 in 2022 and 114.2 in 2021.Eurolife was consolidated on </w:t>
      </w:r>
      <w:r>
        <w:rPr>
          <w:sz w:val="20"/>
        </w:rPr>
        <w:t xml:space="preserve">July 14, 2021. </w:t>
      </w:r>
    </w:p>
    <w:p>
      <w:pPr>
        <w:ind w:firstLine="360"/>
      </w:pPr>
      <w:r>
        <w:rPr>
          <w:sz w:val="20"/>
        </w:rPr>
        <w:t xml:space="preserve">The Asia geograpbic segment is primarily comprised of countries located tbrougbout Asia, including Cbina, Japan, India, Sri Lo </w:t>
      </w:r>
      <w:r>
        <w:rPr>
          <w:sz w:val="20"/>
        </w:rPr>
        <w:t xml:space="preserve">Malaysia, Singapore, Indonesia and Soutb Korea, and the Middle East. </w:t>
      </w:r>
      <w:r>
        <w:rPr>
          <w:sz w:val="20"/>
        </w:rPr>
        <w:t xml:space="preserve">The International geograpbic segment is primarily comprised of countries located in Soutb America, Europe, Africa and Oceania </w:t>
      </w:r>
      <w:r>
        <w:rPr>
          <w:sz w:val="20"/>
        </w:rPr>
        <w:t xml:space="preserve">Excludes Eurolife's life insurance operations'gross premiums written of $350.9 in 2022 and 114.2 in 2021.Eurolife was consolidate </w:t>
      </w:r>
      <w:r>
        <w:rPr>
          <w:sz w:val="20"/>
        </w:rPr>
        <w:t xml:space="preserve">July 14, 2021.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Pricing risk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Pricing risk arises because actual claims experience may differ adversely from the assumptions used in pricing </w:t>
      </w:r>
      <w:r>
        <w:rPr>
          <w:sz w:val="20"/>
        </w:rPr>
        <w:t xml:space="preserve">insurance risk.Historically, the underwriting results of the property and casualty industry have fluctuated </w:t>
      </w:r>
      <w:r>
        <w:rPr>
          <w:sz w:val="20"/>
        </w:rPr>
        <w:t xml:space="preserve">significantly due to the cyclical nature of the insurance market.Market cycles are affected by the frequency and </w:t>
      </w:r>
      <w:r>
        <w:rPr>
          <w:sz w:val="20"/>
        </w:rPr>
        <w:t xml:space="preserve">severity of losses, levels of capacity and demand, general economic conditions, including inflationary pressures </w:t>
      </w:r>
      <w:r>
        <w:rPr>
          <w:sz w:val="20"/>
        </w:rPr>
        <w:t xml:space="preserve">and competition on rates and terms of coverage.The operating companies focus on profitable underwriting using </w:t>
      </w:r>
      <w:r>
        <w:rPr>
          <w:sz w:val="20"/>
        </w:rPr>
        <w:t xml:space="preserve">a combination of experienced underwriting and actuarial staff, pricing models and price adequacy monitoring </w:t>
      </w:r>
      <w:r>
        <w:rPr>
          <w:sz w:val="20"/>
        </w:rPr>
        <w:t xml:space="preserve">tOols.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Reserving risk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Reserving risk arises because actual claims experience may differ adversely from the assumptions used in setting </w:t>
      </w:r>
      <w:r>
        <w:rPr>
          <w:sz w:val="20"/>
        </w:rPr>
        <w:t xml:space="preserve">reserves,in large part due to the length of time between the occurrence of a loss, the reporting of the loss to the </w:t>
      </w:r>
      <w:r>
        <w:rPr>
          <w:sz w:val="20"/>
        </w:rPr>
        <w:t xml:space="preserve">insurer and the ultimate resolution of the claim.The degree of uncertainty will vary by line of business according </w:t>
      </w:r>
      <w:r>
        <w:rPr>
          <w:sz w:val="20"/>
        </w:rPr>
        <w:t xml:space="preserve">to the characteristics of the insured risks,with the ultimate cost of a claim determined by the actual insured loss </w:t>
      </w:r>
      <w:r>
        <w:rPr>
          <w:sz w:val="20"/>
        </w:rPr>
        <w:t xml:space="preserve">suffered by the policyholder. Claims provisions reflect expectations of the ultimate cost of resolution and </w:t>
      </w:r>
      <w:r>
        <w:rPr>
          <w:sz w:val="20"/>
        </w:rPr>
        <w:t xml:space="preserve">administration of claims based on an assessment of facts and circumstances then known, a review of historical </w:t>
      </w:r>
      <w:r>
        <w:rPr>
          <w:sz w:val="20"/>
        </w:rPr>
        <w:t xml:space="preserve">settlement patterns,estimates of trends in claim severity and frequency,developing case law and other factors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