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rovision for restructuring ch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severance charges and charges related to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Balance at beginning of the year</w:t>
            </w:r>
          </w:p>
        </w:tc>
        <w:tc>
          <w:tcPr>
            <w:tcW w:type="dxa" w:w="7200"/>
            <w:gridSpan w:val="5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Charges incurred (reversed) during the year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25,241 1,160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>5,041 30,234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Payments made during the year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(16,751)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(10,034)</w:t>
            </w:r>
          </w:p>
        </w:tc>
      </w:tr>
      <w:tr>
        <w:tc>
          <w:tcPr>
            <w:tcW w:type="dxa" w:w="1440"/>
          </w:tcPr>
          <w:p>
            <w:r>
              <w:t>Balance at end of the year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>7,330</w:t>
            </w:r>
          </w:p>
        </w:tc>
        <w:tc>
          <w:tcPr>
            <w:tcW w:type="dxa" w:w="1440"/>
          </w:tcPr>
          <w:p>
            <w:r>
              <w:t>$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25,241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31.SEGMENTED INFORMATION</w:t>
      </w:r>
    </w:p>
    <w:p>
      <w:pPr>
        <w:pStyle w:val="Heading1"/>
      </w:pPr>
      <w:r>
        <w:t>Operating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Personal Banking seqment caters to the financial needs of retail clients. Clients can access the Bank's offering of financial </w:t>
      </w:r>
      <w:r>
        <w:rPr>
          <w:sz w:val="20"/>
        </w:rPr>
        <w:t xml:space="preserve">advice, products and services through a network of branches in Quebec; an Advisors and Brokers channel targeting independent </w:t>
      </w:r>
      <w:r>
        <w:rPr>
          <w:sz w:val="20"/>
        </w:rPr>
        <w:t xml:space="preserve">financial intermediaries across Canada;and a Diqital Direct-to-customer platform available to all Canadians. </w:t>
      </w:r>
      <w:r>
        <w:rPr>
          <w:sz w:val="20"/>
        </w:rPr>
        <w:t xml:space="preserve">The Commercial Banking segment caters to the financial needs of business clients across Canada and in the United States and </w:t>
      </w:r>
      <w:r>
        <w:rPr>
          <w:sz w:val="20"/>
        </w:rPr>
        <w:t xml:space="preserve">provides commercial banking;real estate financing; and equipment and inventory financing. </w:t>
      </w:r>
      <w:r>
        <w:rPr>
          <w:sz w:val="20"/>
        </w:rPr>
        <w:t xml:space="preserve">The Capital Markets segment provides a range of services, including research, market analysis and advisory services;corporate </w:t>
      </w:r>
      <w:r>
        <w:rPr>
          <w:sz w:val="20"/>
        </w:rPr>
        <w:t xml:space="preserve">underwriting for debt and equity:and administrative services. </w:t>
      </w:r>
    </w:p>
    <w:p>
      <w:pPr>
        <w:ind w:firstLine="360"/>
      </w:pPr>
      <w:r>
        <w:rPr>
          <w:sz w:val="20"/>
        </w:rPr>
        <w:t xml:space="preserve">The Bank's other activities,including the Bank's corporate functions and Corporate Treasury,are grouped into the Othe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Reportable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Bank has evaluated qualitative aggregation criteria and quantitative thresholds to determine that it has one reportable seqment </w:t>
      </w:r>
      <w:r>
        <w:rPr>
          <w:sz w:val="20"/>
        </w:rPr>
        <w:t xml:space="preserve">The Bank aggregates the Personal Banking and Commercial Banking segments which have similar economic characteristics that meet </w:t>
      </w:r>
      <w:r>
        <w:rPr>
          <w:sz w:val="20"/>
        </w:rPr>
        <w:t xml:space="preserve">he aggregation criteria. Factors considered in applying aggregation criteria mainly include: the similarity of products and services </w:t>
      </w:r>
      <w:r>
        <w:rPr>
          <w:sz w:val="20"/>
        </w:rPr>
        <w:t xml:space="preserve">offered, the nature of operations and processes,as well as the similarity in the regulatory environments in which the segments operate </w:t>
      </w:r>
      <w:r>
        <w:rPr>
          <w:sz w:val="20"/>
        </w:rPr>
        <w:t xml:space="preserve">The Capital Markets segment is below the quantitative thresholds to be considered a reportable segment.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Geographic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Bank operates primarily within two geographic areas:Canada and the United States.The following tables summarizes the Bank's </w:t>
      </w:r>
      <w:r>
        <w:rPr>
          <w:sz w:val="20"/>
        </w:rPr>
        <w:t xml:space="preserve">revenues and average earning assets by geoqraphic seqment.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United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United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2021</w:t>
            </w:r>
          </w:p>
        </w:tc>
      </w:tr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1330"/>
            <w:gridSpan w:val="2"/>
          </w:tcPr>
          <w:p>
            <w:r>
              <w:t>Canada</w:t>
            </w:r>
          </w:p>
        </w:tc>
        <w:tc>
          <w:tcPr>
            <w:tcW w:type="dxa" w:w="1330"/>
            <w:gridSpan w:val="2"/>
          </w:tcPr>
          <w:p>
            <w:r>
              <w:t>States</w:t>
            </w:r>
          </w:p>
        </w:tc>
        <w:tc>
          <w:tcPr>
            <w:tcW w:type="dxa" w:w="1330"/>
            <w:gridSpan w:val="2"/>
          </w:tcPr>
          <w:p>
            <w:r>
              <w:t>Total</w:t>
            </w:r>
          </w:p>
        </w:tc>
        <w:tc>
          <w:tcPr>
            <w:tcW w:type="dxa" w:w="1330"/>
            <w:gridSpan w:val="2"/>
          </w:tcPr>
          <w:p>
            <w:r>
              <w:t>Canada</w:t>
            </w:r>
          </w:p>
        </w:tc>
        <w:tc>
          <w:tcPr>
            <w:tcW w:type="dxa" w:w="1330"/>
            <w:gridSpan w:val="2"/>
          </w:tcPr>
          <w:p>
            <w:r>
              <w:t>States</w:t>
            </w:r>
          </w:p>
        </w:tc>
        <w:tc>
          <w:tcPr>
            <w:tcW w:type="dxa" w:w="665"/>
          </w:tcPr>
          <w:p>
            <w:r>
              <w:t>Total</w:t>
            </w:r>
          </w:p>
        </w:tc>
      </w:tr>
      <w:tr>
        <w:tc>
          <w:tcPr>
            <w:tcW w:type="dxa" w:w="665"/>
          </w:tcPr>
          <w:p>
            <w:r>
              <w:t>Total revenue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877,458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156,777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1,034,235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913,036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89,421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1,002,457</w:t>
            </w:r>
          </w:p>
        </w:tc>
      </w:tr>
      <w:tr>
        <w:tc>
          <w:tcPr>
            <w:tcW w:type="dxa" w:w="665"/>
          </w:tcPr>
          <w:p>
            <w:r>
              <w:t>Average earning assetslI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36,669,957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3,258,896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39,928,853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35,515,548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1,858,447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37,373,995</w:t>
            </w:r>
          </w:p>
        </w:tc>
      </w:tr>
    </w:tbl>
    <w:p>
      <w:pPr>
        <w:ind w:firstLine="360"/>
      </w:pPr>
      <w:r>
        <w:rPr>
          <w:sz w:val="20"/>
        </w:rPr>
        <w:t xml:space="preserve">earning assets include the Bank's loans net of allowances,as well as interest-bearing deposits with other banks, securities, securities purchased ur </w:t>
      </w:r>
      <w:r>
        <w:rPr>
          <w:sz w:val="20"/>
        </w:rPr>
        <w:t xml:space="preserve">ase agreements used in the Bank's treasury operations and derivatives but exclude average earning assets related to trading activities.The averages are b </w:t>
      </w:r>
      <w:r>
        <w:rPr>
          <w:sz w:val="20"/>
        </w:rPr>
        <w:t xml:space="preserve">ances for the period.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