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pStyle w:val="Heading1"/>
      </w:pPr>
      <w:r>
        <w:t>2.SIGNIFICANT SUBSIDIARIE</w:t>
      </w:r>
    </w:p>
    <w:p>
      <w:pPr>
        <w:ind w:firstLine="360"/>
      </w:pPr>
      <w:r>
        <w:rPr>
          <w:sz w:val="20"/>
        </w:rPr>
        <w:t xml:space="preserve">he significant subsidiaries of the Bank as at October 31,2022 are listed in the table below </w:t>
      </w:r>
    </w:p>
    <w:p>
      <w:pPr>
        <w:sectPr>
          <w:type w:val="continuous"/>
          <w:pgSz w:w="12240" w:h="15840"/>
          <w:pgMar w:top="1440" w:right="1800" w:bottom="1440" w:left="1800" w:header="720" w:footer="720" w:gutter="0"/>
          <w:cols w:space="720" w:num="2"/>
          <w:docGrid w:linePitch="360"/>
        </w:sectPr>
      </w:pP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Corporate name</w:t>
            </w:r>
          </w:p>
        </w:tc>
        <w:tc>
          <w:tcPr>
            <w:tcW w:type="dxa" w:w="4320"/>
          </w:tcPr>
          <w:p>
            <w:r>
              <w:t>Principal offie addrest Bank2)</w:t>
            </w:r>
          </w:p>
        </w:tc>
      </w:tr>
      <w:tr>
        <w:tc>
          <w:tcPr>
            <w:tcW w:type="dxa" w:w="4320"/>
          </w:tcPr>
          <w:p>
            <w:r>
              <w:t>B2B Bank</w:t>
            </w:r>
          </w:p>
        </w:tc>
        <w:tc>
          <w:tcPr>
            <w:tcW w:type="dxa" w:w="4320"/>
          </w:tcPr>
          <w:p>
            <w:r>
              <w:t>Toronto,Canada $ 622,389</w:t>
            </w:r>
          </w:p>
        </w:tc>
      </w:tr>
      <w:tr>
        <w:tc>
          <w:tcPr>
            <w:tcW w:type="dxa" w:w="4320"/>
          </w:tcPr>
          <w:p>
            <w:r>
              <w:t>Laurentian Bank Securities Inc.</w:t>
            </w:r>
          </w:p>
        </w:tc>
        <w:tc>
          <w:tcPr>
            <w:tcW w:type="dxa" w:w="4320"/>
          </w:tcPr>
          <w:p>
            <w:r>
              <w:t>Montreal, Canada 220,976</w:t>
            </w:r>
          </w:p>
        </w:tc>
      </w:tr>
      <w:tr>
        <w:tc>
          <w:tcPr>
            <w:tcW w:type="dxa" w:w="4320"/>
          </w:tcPr>
          <w:p>
            <w:r>
              <w:t>Laurentian Trust of Canada Inc.</w:t>
            </w:r>
          </w:p>
        </w:tc>
        <w:tc>
          <w:tcPr>
            <w:tcW w:type="dxa" w:w="4320"/>
          </w:tcPr>
          <w:p>
            <w:r>
              <w:t>Montreal, Canada 108,421</w:t>
            </w:r>
          </w:p>
        </w:tc>
      </w:tr>
      <w:tr>
        <w:tc>
          <w:tcPr>
            <w:tcW w:type="dxa" w:w="4320"/>
          </w:tcPr>
          <w:p>
            <w:r>
              <w:t>LBC Capital Inc.</w:t>
            </w:r>
          </w:p>
        </w:tc>
        <w:tc>
          <w:tcPr>
            <w:tcW w:type="dxa" w:w="4320"/>
          </w:tcPr>
          <w:p>
            <w:r>
              <w:t>Burlington,Canada 2,863,751</w:t>
            </w:r>
          </w:p>
        </w:tc>
      </w:tr>
      <w:tr>
        <w:tc>
          <w:tcPr>
            <w:tcW w:type="dxa" w:w="4320"/>
          </w:tcPr>
          <w:p>
            <w:r>
              <w:t>NCF Commercial Finance Holdings Inc.</w:t>
            </w:r>
          </w:p>
        </w:tc>
        <w:tc>
          <w:tcPr>
            <w:tcW w:type="dxa" w:w="4320"/>
          </w:tcPr>
          <w:p>
            <w:r>
              <w:t>Alpharetta, United States</w:t>
            </w:r>
          </w:p>
        </w:tc>
      </w:tr>
      <w:tr>
        <w:tc>
          <w:tcPr>
            <w:tcW w:type="dxa" w:w="4320"/>
          </w:tcPr>
          <w:p>
            <w:r>
              <w:t>Northpoint Commercial Finance LLC</w:t>
            </w:r>
          </w:p>
        </w:tc>
        <w:tc>
          <w:tcPr>
            <w:tcW w:type="dxa" w:w="4320"/>
          </w:tcPr>
          <w:p>
            <w:r>
              <w:t>Alpharetta, United States</w:t>
            </w:r>
          </w:p>
        </w:tc>
      </w:tr>
      <w:tr>
        <w:tc>
          <w:tcPr>
            <w:tcW w:type="dxa" w:w="4320"/>
          </w:tcPr>
          <w:p>
            <w:r>
              <w:t>LBC Financial Services Inc.</w:t>
            </w:r>
          </w:p>
        </w:tc>
        <w:tc>
          <w:tcPr>
            <w:tcW w:type="dxa" w:w="4320"/>
          </w:tcPr>
          <w:p>
            <w:r>
              <w:t>Montreal, Canada 405,229</w:t>
            </w:r>
          </w:p>
        </w:tc>
      </w:tr>
      <w:tr>
        <w:tc>
          <w:tcPr>
            <w:tcW w:type="dxa" w:w="4320"/>
          </w:tcPr>
          <w:p>
            <w:r>
              <w:t>LBC Investment Management Inc.</w:t>
            </w:r>
          </w:p>
        </w:tc>
        <w:tc>
          <w:tcPr>
            <w:tcW w:type="dxa" w:w="4320"/>
          </w:tcPr>
          <w:p>
            <w:r>
              <w:t>Montreal, Canada</w:t>
            </w:r>
          </w:p>
        </w:tc>
      </w:tr>
      <w:tr>
        <w:tc>
          <w:tcPr>
            <w:tcW w:type="dxa" w:w="4320"/>
          </w:tcPr>
          <w:p>
            <w:r>
              <w:t>V.R. Holding Insurance Company Ltd.</w:t>
            </w:r>
          </w:p>
        </w:tc>
        <w:tc>
          <w:tcPr>
            <w:tcW w:type="dxa" w:w="4320"/>
          </w:tcPr>
          <w:p>
            <w:r>
              <w:t>429,115 St. James, Barbados</w:t>
            </w:r>
          </w:p>
        </w:tc>
      </w:tr>
      <w:tr>
        <w:tc>
          <w:tcPr>
            <w:tcW w:type="dxa" w:w="4320"/>
          </w:tcPr>
          <w:p>
            <w:r>
              <w:t>Venture Reinsurance Company Ltd.</w:t>
            </w:r>
          </w:p>
        </w:tc>
        <w:tc>
          <w:tcPr>
            <w:tcW w:type="dxa" w:w="4320"/>
          </w:tcPr>
          <w:p>
            <w:r>
              <w:t>St.James,Barbados</w:t>
            </w:r>
          </w:p>
        </w:tc>
      </w:tr>
      <w:tr>
        <w:tc>
          <w:tcPr>
            <w:tcW w:type="dxa" w:w="4320"/>
          </w:tcPr>
          <w:p>
            <w:r>
              <w:t>LBC Tech Inc.</w:t>
            </w:r>
          </w:p>
        </w:tc>
        <w:tc>
          <w:tcPr>
            <w:tcW w:type="dxa" w:w="4320"/>
          </w:tcPr>
          <w:p>
            <w:r>
              <w:t>Toronto, Canada</w:t>
            </w:r>
          </w:p>
        </w:tc>
      </w:tr>
      <w:tr>
        <w:tc>
          <w:tcPr>
            <w:tcW w:type="dxa" w:w="4320"/>
          </w:tcPr>
          <w:p>
            <w:r>
              <w:t>LBC Trust</w:t>
            </w:r>
          </w:p>
        </w:tc>
        <w:tc>
          <w:tcPr>
            <w:tcW w:type="dxa" w:w="4320"/>
          </w:tcPr>
          <w:p>
            <w:r>
              <w:t>1,574 Montreal,Canada 84,400</w:t>
            </w:r>
          </w:p>
        </w:tc>
      </w:tr>
      <w:tr>
        <w:tc>
          <w:tcPr>
            <w:tcW w:type="dxa" w:w="4320"/>
          </w:tcPr>
          <w:p>
            <w:r>
              <w:t>NCF International Holding Kfte</w:t>
            </w:r>
          </w:p>
        </w:tc>
        <w:tc>
          <w:tcPr>
            <w:tcW w:type="dxa" w:w="4320"/>
          </w:tcPr>
          <w:p>
            <w:r>
              <w:t>BudapestHungary 66,564</w:t>
            </w:r>
          </w:p>
        </w:tc>
      </w:tr>
    </w:tbl>
    <w:p>
      <w:pPr>
        <w:ind w:firstLine="360"/>
      </w:pPr>
      <w:r>
        <w:rPr>
          <w:sz w:val="20"/>
        </w:rPr>
        <w:t xml:space="preserve">bsidiary is incorporated or organized under the laws ot the country in which the principa office is located </w:t>
      </w:r>
      <w:r>
        <w:rPr>
          <w:sz w:val="20"/>
        </w:rPr>
        <w:t xml:space="preserve">otherwise noted,the Bank,either directly or indirectly through its subsidiaries,owns 100% of the outstanding voting shares of each subsidiary.The book valu </w:t>
      </w:r>
      <w:r>
        <w:rPr>
          <w:sz w:val="20"/>
        </w:rPr>
        <w:t xml:space="preserve">inq rights corresponds to the Bank's interest in the shareholders'equity of the subsidiaries. </w:t>
      </w:r>
    </w:p>
    <w:sectPr w:rsidR="00FC693F" w:rsidRPr="0006063C" w:rsidSect="00034616">
      <w:type w:val="continuous"/>
      <w:pgSz w:w="12240" w:h="15840"/>
      <w:pgMar w:top="1440" w:right="1800" w:bottom="1440" w:left="1800" w:header="720" w:footer="720" w:gutter="0"/>
      <w:cols w:space="720" w:num="1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