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Significant subsidiaries 12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Significant subsidiaries (1)(2) AIR MILES Loyalty Inc.</w:t>
            </w:r>
          </w:p>
        </w:tc>
        <w:tc>
          <w:tcPr>
            <w:tcW w:type="dxa" w:w="2880"/>
          </w:tcPr>
          <w:p>
            <w:r>
              <w:t>Head or principal office</w:t>
            </w:r>
          </w:p>
        </w:tc>
        <w:tc>
          <w:tcPr>
            <w:tcW w:type="dxa" w:w="2880"/>
          </w:tcPr>
          <w:p>
            <w:r>
              <w:t>bank (Canadian $ in millions) 213</w:t>
            </w:r>
          </w:p>
        </w:tc>
      </w:tr>
      <w:tr>
        <w:tc>
          <w:tcPr>
            <w:tcW w:type="dxa" w:w="2880"/>
          </w:tcPr>
          <w:p>
            <w:r>
              <w:t>Bank of Montreal (China) Co.Ltd.</w:t>
            </w:r>
          </w:p>
        </w:tc>
        <w:tc>
          <w:tcPr>
            <w:tcW w:type="dxa" w:w="2880"/>
          </w:tcPr>
          <w:p>
            <w:r>
              <w:t>TorontoCanada Beijing China</w:t>
            </w:r>
          </w:p>
        </w:tc>
        <w:tc>
          <w:tcPr>
            <w:tcW w:type="dxa" w:w="2880"/>
          </w:tcPr>
          <w:p>
            <w:r>
              <w:t>489</w:t>
            </w:r>
          </w:p>
        </w:tc>
      </w:tr>
      <w:tr>
        <w:tc>
          <w:tcPr>
            <w:tcW w:type="dxa" w:w="2880"/>
          </w:tcPr>
          <w:p>
            <w:r>
              <w:t>Bank of Montreal Europe plc</w:t>
            </w:r>
          </w:p>
        </w:tc>
        <w:tc>
          <w:tcPr>
            <w:tcW w:type="dxa" w:w="2880"/>
          </w:tcPr>
          <w:p>
            <w:r>
              <w:t>Dublin, Ireland</w:t>
            </w:r>
          </w:p>
        </w:tc>
        <w:tc>
          <w:tcPr>
            <w:tcW w:type="dxa" w:w="2880"/>
          </w:tcPr>
          <w:p>
            <w:r>
              <w:t>519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Toronto Canada</w:t>
            </w:r>
          </w:p>
        </w:tc>
        <w:tc>
          <w:tcPr>
            <w:tcW w:type="dxa" w:w="2880"/>
          </w:tcPr>
          <w:p>
            <w:r>
              <w:t>36,341</w:t>
            </w:r>
          </w:p>
        </w:tc>
      </w:tr>
      <w:tr>
        <w:tc>
          <w:tcPr>
            <w:tcW w:type="dxa" w:w="2880"/>
          </w:tcPr>
          <w:p>
            <w:r>
              <w:t>Bank of Montreal Holding Inc. and subsidiaries, including: Bank of Montreal Mortgage Corporation</w:t>
            </w:r>
          </w:p>
        </w:tc>
        <w:tc>
          <w:tcPr>
            <w:tcW w:type="dxa" w:w="2880"/>
          </w:tcPr>
          <w:p>
            <w:r>
              <w:t>Calgary,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Mortgage Corp. BMO Investments Inc.</w:t>
            </w:r>
          </w:p>
        </w:tc>
        <w:tc>
          <w:tcPr>
            <w:tcW w:type="dxa" w:w="2880"/>
          </w:tcPr>
          <w:p>
            <w:r>
              <w:t>Vancouver,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Investments Limited</w:t>
            </w:r>
          </w:p>
        </w:tc>
        <w:tc>
          <w:tcPr>
            <w:tcW w:type="dxa" w:w="2880"/>
          </w:tcPr>
          <w:p>
            <w:r>
              <w:t>Toronto,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Reinsurance Limited</w:t>
            </w:r>
          </w:p>
        </w:tc>
        <w:tc>
          <w:tcPr>
            <w:tcW w:type="dxa" w:w="2880"/>
          </w:tcPr>
          <w:p>
            <w:r>
              <w:t>Hamilton, Bermuda St.Michael, Barbados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InvestorLine Inc.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Nesbitt Burns Inc.</w:t>
            </w:r>
          </w:p>
        </w:tc>
        <w:tc>
          <w:tcPr>
            <w:tcW w:type="dxa" w:w="2880"/>
          </w:tcPr>
          <w:p>
            <w:r>
              <w:t>TorontoCanada Toronto,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Private Equity (Canada)Inc.</w:t>
            </w:r>
          </w:p>
        </w:tc>
        <w:tc>
          <w:tcPr>
            <w:tcW w:type="dxa" w:w="2880"/>
          </w:tcPr>
          <w:p>
            <w:r>
              <w:t>TorontoCanada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324</w:t>
            </w:r>
          </w:p>
        </w:tc>
      </w:tr>
      <w:tr>
        <w:tc>
          <w:tcPr>
            <w:tcW w:type="dxa" w:w="2880"/>
          </w:tcPr>
          <w:p>
            <w:r>
              <w:t>BMO Capital Markets Limited</w:t>
            </w:r>
          </w:p>
        </w:tc>
        <w:tc>
          <w:tcPr>
            <w:tcW w:type="dxa" w:w="2880"/>
          </w:tcPr>
          <w:p>
            <w:r>
              <w:t>London, England</w:t>
            </w:r>
          </w:p>
        </w:tc>
        <w:tc>
          <w:tcPr>
            <w:tcW w:type="dxa" w:w="2880"/>
          </w:tcPr>
          <w:p>
            <w:r>
              <w:t>799</w:t>
            </w:r>
          </w:p>
        </w:tc>
      </w:tr>
      <w:tr>
        <w:tc>
          <w:tcPr>
            <w:tcW w:type="dxa" w:w="2880"/>
          </w:tcPr>
          <w:p>
            <w:r>
              <w:t>BMO Capital Partners Inc.</w:t>
            </w:r>
          </w:p>
        </w:tc>
        <w:tc>
          <w:tcPr>
            <w:tcW w:type="dxa" w:w="2880"/>
          </w:tcPr>
          <w:p>
            <w:r>
              <w:t>TorontoCanada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BMO Financial Corp. and subsidiaries, including:</w:t>
            </w:r>
          </w:p>
        </w:tc>
        <w:tc>
          <w:tcPr>
            <w:tcW w:type="dxa" w:w="2880"/>
          </w:tcPr>
          <w:p>
            <w:r>
              <w:t>Chicago, United States</w:t>
            </w:r>
          </w:p>
        </w:tc>
        <w:tc>
          <w:tcPr>
            <w:tcW w:type="dxa" w:w="2880"/>
          </w:tcPr>
          <w:p>
            <w:r>
              <w:t>51,512</w:t>
            </w:r>
          </w:p>
        </w:tc>
      </w:tr>
      <w:tr>
        <w:tc>
          <w:tcPr>
            <w:tcW w:type="dxa" w:w="2880"/>
          </w:tcPr>
          <w:p>
            <w:r>
              <w:t>BMO Bank National Association</w:t>
            </w:r>
          </w:p>
        </w:tc>
        <w:tc>
          <w:tcPr>
            <w:tcW w:type="dxa" w:w="2880"/>
          </w:tcPr>
          <w:p>
            <w:r>
              <w:t>Chicago, United States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Capital Markets Corp. BMO Japan Securities Ltd.</w:t>
            </w:r>
          </w:p>
        </w:tc>
        <w:tc>
          <w:tcPr>
            <w:tcW w:type="dxa" w:w="2880"/>
          </w:tcPr>
          <w:p>
            <w:r>
              <w:t>New York United States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BMO Life Insurance Company and subsidiaries, including</w:t>
            </w:r>
          </w:p>
        </w:tc>
        <w:tc>
          <w:tcPr>
            <w:tcW w:type="dxa" w:w="2880"/>
          </w:tcPr>
          <w:p>
            <w:r>
              <w:t>Tokyo, Japan Toronto Canada</w:t>
            </w:r>
          </w:p>
        </w:tc>
        <w:tc>
          <w:tcPr>
            <w:tcW w:type="dxa" w:w="2880"/>
          </w:tcPr>
          <w:p>
            <w:r>
              <w:t>1,885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Life Holdings (Canada) ULC</w:t>
            </w:r>
          </w:p>
        </w:tc>
        <w:tc>
          <w:tcPr>
            <w:tcW w:type="dxa" w:w="2880"/>
          </w:tcPr>
          <w:p>
            <w:r>
              <w:t>Halifax,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Life Assurance Company</w:t>
            </w:r>
          </w:p>
        </w:tc>
        <w:tc>
          <w:tcPr>
            <w:tcW w:type="dxa" w:w="2880"/>
          </w:tcPr>
          <w:p>
            <w:r>
              <w:t>Toronto Canada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BMO Trust Company</w:t>
            </w:r>
          </w:p>
        </w:tc>
        <w:tc>
          <w:tcPr>
            <w:tcW w:type="dxa" w:w="2880"/>
          </w:tcPr>
          <w:p>
            <w:r>
              <w:t>Toronto Canada</w:t>
            </w:r>
          </w:p>
        </w:tc>
        <w:tc>
          <w:tcPr>
            <w:tcW w:type="dxa" w:w="2880"/>
          </w:tcPr>
          <w:p>
            <w:r>
              <w:t>530</w:t>
            </w:r>
          </w:p>
        </w:tc>
      </w:tr>
    </w:tbl>
    <w:p>
      <w:pPr>
        <w:ind w:firstLine="360"/>
      </w:pPr>
      <w:r>
        <w:rPr>
          <w:sz w:val="20"/>
        </w:rPr>
        <w:t xml:space="preserve">bsidiary is incorporated or organized under the laws of the state or country in which the principal office is situated,except for Bmo Financial Corp.and BMo Capital Markets Corp </w:t>
      </w:r>
      <w:r>
        <w:rPr>
          <w:sz w:val="20"/>
        </w:rPr>
        <w:t xml:space="preserve">rated under the laws of the state of Delaware,United States. </w:t>
      </w:r>
      <w:r>
        <w:rPr>
          <w:sz w:val="20"/>
        </w:rPr>
        <w:t xml:space="preserve">otherwise noted, the bank, either directly or indirectly through its subsidiaries,owns 1oo% of the outstanding voting shares of each subsidiary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Siqnificant Restrictions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Assets pledged as security for various liabilities we incur. Refer to Note 24 for details </w:t>
      </w:r>
      <w:r>
        <w:rPr>
          <w:sz w:val="20"/>
        </w:rPr>
        <w:t xml:space="preserve">Assets of our consolidated SEs that are held for the benefit of the note holders. Refer to Note 7 for details </w:t>
      </w:r>
      <w:r>
        <w:rPr>
          <w:sz w:val="20"/>
        </w:rPr>
        <w:t xml:space="preserve">Assets held by our insurance subsidiaries.Refer to Note 12 for details. </w:t>
      </w:r>
      <w:r>
        <w:rPr>
          <w:sz w:val="20"/>
        </w:rPr>
        <w:t xml:space="preserve">Regulatory and statutory requirements that reflect capital and liquidity requirements. </w:t>
      </w:r>
      <w:r>
        <w:rPr>
          <w:sz w:val="20"/>
        </w:rPr>
        <w:t xml:space="preserve">Funds required to be held with.certain central banks.requlatory bodies and counterparties.Refer to Note 2 for details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Note27:RelatedParty Transactions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rties include subsidiaries,joint ventures,associates, employee future benefit plans and key management personnel and their cl </w:t>
      </w:r>
      <w:r>
        <w:rPr>
          <w:sz w:val="20"/>
        </w:rPr>
        <w:t xml:space="preserve">Close family members include spouses, common-law partners and dependent minors.Transactions with our subsidiaries are elin </w:t>
      </w:r>
      <w:r>
        <w:rPr>
          <w:sz w:val="20"/>
        </w:rPr>
        <w:t xml:space="preserve">ion,and are not disclosed as related party transactions. </w:t>
      </w:r>
    </w:p>
    <w:p>
      <w:pPr>
        <w:ind w:firstLine="360"/>
      </w:pPr>
      <w:r>
        <w:rPr>
          <w:sz w:val="20"/>
        </w:rPr>
        <w:t xml:space="preserve">r planning, directing and/or control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following table presents the compensation of our key manage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(Canadian$ in millions)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</w:tr>
      <w:tr>
        <w:tc>
          <w:tcPr>
            <w:tcW w:type="dxa" w:w="2880"/>
          </w:tcPr>
          <w:p>
            <w:r>
              <w:t>Base salary and incentives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Post-employment benefits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Share-based payments (1)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Total key management personnel compensation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ounts included in share-based payments are the fair values of awards qranted in the ye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Ve offer senior executives market interest rates on credit card balances,a fee-based subsidy on annual credit card fees, and a se </w:t>
      </w:r>
      <w:r>
        <w:rPr>
          <w:sz w:val="20"/>
        </w:rPr>
        <w:t xml:space="preserve">ustomer loan and mortgage products at rates normally accorded to preferred customers.As at October 31,2023,loans and undra </w:t>
      </w:r>
      <w:r>
        <w:rPr>
          <w:sz w:val="20"/>
        </w:rPr>
        <w:t xml:space="preserve">ommitments to key management personnel and their close family members totalled$16 million$20 million as at October 31,2 </w:t>
      </w:r>
      <w:r>
        <w:rPr>
          <w:sz w:val="20"/>
        </w:rPr>
        <w:t xml:space="preserve">DecificPCLrelated to these amounts as at 0ctober31.2023 and 2022 </w:t>
      </w:r>
    </w:p>
    <w:p>
      <w:pPr>
        <w:ind w:firstLine="360"/>
      </w:pPr>
      <w:r>
        <w:rPr>
          <w:sz w:val="20"/>
        </w:rPr>
        <w:t xml:space="preserve">Directors receive a specified amount of their annual retainer in deferred stock units.Until a director's shareholdings (including deferred stock </w:t>
      </w:r>
      <w:r>
        <w:rPr>
          <w:sz w:val="20"/>
        </w:rPr>
        <w:t xml:space="preserve">nits) are eleven times qreater than their annual retainer, they are required to take 1oo% of their annual retainer and other fees in the form of eithe </w:t>
      </w:r>
      <w:r>
        <w:rPr>
          <w:sz w:val="20"/>
        </w:rPr>
        <w:t xml:space="preserve">our common shares or deferred stock units. Once the shareholding requirements have been met, directors may elect to receive the remainder of such </w:t>
      </w:r>
      <w:r>
        <w:rPr>
          <w:sz w:val="20"/>
        </w:rPr>
        <w:t xml:space="preserve">retainer fees and other remuneration in cash, common shares or deferred stock units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