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Segmented assets included the following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Asset</w:t>
            </w:r>
          </w:p>
        </w:tc>
        <w:tc>
          <w:tcPr>
            <w:tcW w:type="dxa" w:w="1080"/>
          </w:tcPr>
          <w:p>
            <w:r>
              <w:t>As at December 31, 2022 Management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As at December 31,2021 Asset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Investing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Investing</w:t>
            </w:r>
          </w:p>
        </w:tc>
        <w:tc>
          <w:tcPr>
            <w:tcW w:type="dxa" w:w="1080"/>
          </w:tcPr>
          <w:p>
            <w:r>
              <w:t>Management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Total</w:t>
            </w:r>
          </w:p>
        </w:tc>
      </w:tr>
      <w:tr>
        <w:tc>
          <w:tcPr>
            <w:tcW w:type="dxa" w:w="1080"/>
          </w:tcPr>
          <w:p>
            <w:r>
              <w:t>Cash and cash equivalents</w:t>
            </w:r>
          </w:p>
        </w:tc>
        <w:tc>
          <w:tcPr>
            <w:tcW w:type="dxa" w:w="1080"/>
          </w:tcPr>
          <w:p>
            <w:r>
              <w:t>$ -</w:t>
            </w:r>
          </w:p>
        </w:tc>
        <w:tc>
          <w:tcPr>
            <w:tcW w:type="dxa" w:w="1080"/>
          </w:tcPr>
          <w:p>
            <w:r>
              <w:t>$111 52(i</w:t>
            </w:r>
          </w:p>
        </w:tc>
        <w:tc>
          <w:tcPr>
            <w:tcW w:type="dxa" w:w="1080"/>
          </w:tcPr>
          <w:p>
            <w:r>
              <w:t>Total 111 52</w:t>
            </w:r>
          </w:p>
        </w:tc>
        <w:tc>
          <w:tcPr>
            <w:tcW w:type="dxa" w:w="1080"/>
          </w:tcPr>
          <w:p>
            <w:r>
              <w:t>$ 357</w:t>
            </w:r>
          </w:p>
        </w:tc>
        <w:tc>
          <w:tcPr>
            <w:tcW w:type="dxa" w:w="1080"/>
          </w:tcPr>
          <w:p>
            <w:r>
              <w:t>$ 190i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$ 547</w:t>
            </w:r>
          </w:p>
        </w:tc>
      </w:tr>
      <w:tr>
        <w:tc>
          <w:tcPr>
            <w:tcW w:type="dxa" w:w="1080"/>
          </w:tcPr>
          <w:p>
            <w:r>
              <w:t>Treasury investments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290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290</w:t>
            </w:r>
          </w:p>
        </w:tc>
      </w:tr>
      <w:tr>
        <w:tc>
          <w:tcPr>
            <w:tcW w:type="dxa" w:w="1080"/>
          </w:tcPr>
          <w:p>
            <w:r>
              <w:t>Management and advisory fees,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recoverable fund expenses and other receivables</w:t>
            </w:r>
          </w:p>
        </w:tc>
        <w:tc>
          <w:tcPr>
            <w:tcW w:type="dxa" w:w="1080"/>
          </w:tcPr>
          <w:p>
            <w:r>
              <w:t>460[i)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369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7,387</w:t>
            </w:r>
          </w:p>
        </w:tc>
        <w:tc>
          <w:tcPr>
            <w:tcW w:type="dxa" w:w="1080"/>
          </w:tcPr>
          <w:p>
            <w:r>
              <w:t>84 -</w:t>
            </w:r>
          </w:p>
        </w:tc>
        <w:tc>
          <w:tcPr>
            <w:tcW w:type="dxa" w:w="1080"/>
          </w:tcPr>
          <w:p>
            <w:r>
              <w:t>544 7,387</w:t>
            </w:r>
          </w:p>
        </w:tc>
        <w:tc>
          <w:tcPr>
            <w:tcW w:type="dxa" w:w="1080"/>
          </w:tcPr>
          <w:p>
            <w:r>
              <w:t>308[i) 7,239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7,239</w:t>
            </w:r>
          </w:p>
        </w:tc>
      </w:tr>
      <w:tr>
        <w:tc>
          <w:tcPr>
            <w:tcW w:type="dxa" w:w="1080"/>
          </w:tcPr>
          <w:p>
            <w:r>
              <w:t>Corporate investments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18</w:t>
            </w:r>
          </w:p>
        </w:tc>
      </w:tr>
      <w:tr>
        <w:tc>
          <w:tcPr>
            <w:tcW w:type="dxa" w:w="1080"/>
          </w:tcPr>
          <w:p>
            <w:r>
              <w:t>Unrealized carried interest - Credit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- 91</w:t>
            </w:r>
          </w:p>
        </w:tc>
        <w:tc>
          <w:tcPr>
            <w:tcW w:type="dxa" w:w="1080"/>
          </w:tcPr>
          <w:p>
            <w:r>
              <w:t>16 91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Other assets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136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136</w:t>
            </w:r>
          </w:p>
        </w:tc>
      </w:tr>
      <w:tr>
        <w:tc>
          <w:tcPr>
            <w:tcW w:type="dxa" w:w="1080"/>
          </w:tcPr>
          <w:p>
            <w:r>
              <w:t>Property and equipment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140 93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148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148</w:t>
            </w:r>
          </w:p>
        </w:tc>
      </w:tr>
      <w:tr>
        <w:tc>
          <w:tcPr>
            <w:tcW w:type="dxa" w:w="1080"/>
          </w:tcPr>
          <w:p>
            <w:r>
              <w:t>Intangible assets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139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139</w:t>
            </w:r>
          </w:p>
        </w:tc>
      </w:tr>
      <w:tr>
        <w:tc>
          <w:tcPr>
            <w:tcW w:type="dxa" w:w="1080"/>
          </w:tcPr>
          <w:p>
            <w:r>
              <w:t>Goodwill Total assetse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257 $ 8,691 $12,163</w:t>
            </w:r>
          </w:p>
        </w:tc>
        <w:tc>
          <w:tcPr>
            <w:tcW w:type="dxa" w:w="1080"/>
          </w:tcPr>
          <w:p>
            <w:r>
              <w:t>$8,212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264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264</w:t>
            </w:r>
          </w:p>
        </w:tc>
      </w:tr>
      <w:tr>
        <w:tc>
          <w:tcPr>
            <w:tcW w:type="dxa" w:w="1080"/>
          </w:tcPr>
          <w:p>
            <w:r>
              <w:t>Total segment assets Net intercompany loans receivable, comprising parte of the fair value of Investment Holding Companies Unrealized carried interest included in segment assets - Credit</w:t>
            </w:r>
          </w:p>
        </w:tc>
        <w:tc>
          <w:tcPr>
            <w:tcW w:type="dxa" w:w="1080"/>
          </w:tcPr>
          <w:p>
            <w:r>
              <w:t>$7,863</w:t>
            </w:r>
          </w:p>
        </w:tc>
        <w:tc>
          <w:tcPr>
            <w:tcW w:type="dxa" w:w="1080"/>
          </w:tcPr>
          <w:p>
            <w:r>
              <w:t>257 $828</w:t>
            </w:r>
          </w:p>
        </w:tc>
        <w:tc>
          <w:tcPr>
            <w:tcW w:type="dxa" w:w="1080"/>
          </w:tcPr>
          <w:p>
            <w:r>
              <w:t>3,488 (16)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$ 938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$ 9,150 3,755 18 $12,887</w:t>
            </w:r>
          </w:p>
        </w:tc>
      </w:tr>
    </w:tbl>
    <w:p>
      <w:pPr>
        <w:ind w:firstLine="360"/>
      </w:pPr>
      <w:r>
        <w:rPr>
          <w:sz w:val="20"/>
        </w:rPr>
        <w:t xml:space="preserve">(i) Cash,cash equivalents and treasury investments allocated to the asset management seqment relate to accrued employee incentive compensation ar </w:t>
      </w:r>
      <w:r>
        <w:rPr>
          <w:sz w:val="20"/>
        </w:rPr>
        <w:t xml:space="preserve">consideration related to the acquisition of Falcon Investment Advisors. </w:t>
      </w:r>
      <w:r>
        <w:rPr>
          <w:sz w:val="20"/>
        </w:rPr>
        <w:t xml:space="preserve">(ii) Includes management fees and recoverable fund expenses receivable from certain funds which Onex has elected to defer cash receipt from, less am </w:t>
      </w:r>
      <w:r>
        <w:rPr>
          <w:sz w:val="20"/>
        </w:rPr>
        <w:t xml:space="preserve">to the asset management segment related to accrued incentive compensation and contingent consideration related to the acguisition of Falcon Inves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Geographic Seqments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3456"/>
            <w:gridSpan w:val="6"/>
          </w:tcPr>
          <w:p>
            <w:r>
              <w:t>As at December 31,2022</w:t>
            </w:r>
          </w:p>
        </w:tc>
        <w:tc>
          <w:tcPr>
            <w:tcW w:type="dxa" w:w="4608"/>
            <w:gridSpan w:val="8"/>
          </w:tcPr>
          <w:p>
            <w:r>
              <w:t>As at December 31,2021</w:t>
            </w:r>
          </w:p>
        </w:tc>
      </w:tr>
      <w:tr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1152"/>
            <w:gridSpan w:val="2"/>
          </w:tcPr>
          <w:p>
            <w:r>
              <w:t>Canada</w:t>
            </w:r>
          </w:p>
        </w:tc>
        <w:tc>
          <w:tcPr>
            <w:tcW w:type="dxa" w:w="1152"/>
            <w:gridSpan w:val="2"/>
          </w:tcPr>
          <w:p>
            <w:r>
              <w:t>United States</w:t>
            </w:r>
          </w:p>
        </w:tc>
        <w:tc>
          <w:tcPr>
            <w:tcW w:type="dxa" w:w="1152"/>
            <w:gridSpan w:val="2"/>
          </w:tcPr>
          <w:p>
            <w:r>
              <w:t>United Kingdom</w:t>
            </w:r>
          </w:p>
        </w:tc>
        <w:tc>
          <w:tcPr>
            <w:tcW w:type="dxa" w:w="576"/>
          </w:tcPr>
          <w:p>
            <w:r>
              <w:t>Total</w:t>
            </w:r>
          </w:p>
        </w:tc>
        <w:tc>
          <w:tcPr>
            <w:tcW w:type="dxa" w:w="1152"/>
            <w:gridSpan w:val="2"/>
          </w:tcPr>
          <w:p>
            <w:r>
              <w:t>Canada</w:t>
            </w:r>
          </w:p>
        </w:tc>
        <w:tc>
          <w:tcPr>
            <w:tcW w:type="dxa" w:w="1152"/>
            <w:gridSpan w:val="2"/>
          </w:tcPr>
          <w:p>
            <w:r>
              <w:t>United States</w:t>
            </w:r>
          </w:p>
        </w:tc>
        <w:tc>
          <w:tcPr>
            <w:tcW w:type="dxa" w:w="1152"/>
            <w:gridSpan w:val="2"/>
          </w:tcPr>
          <w:p>
            <w:r>
              <w:t>United Kingdom</w:t>
            </w:r>
          </w:p>
        </w:tc>
        <w:tc>
          <w:tcPr>
            <w:tcW w:type="dxa" w:w="576"/>
          </w:tcPr>
          <w:p>
            <w:r>
              <w:t>Total</w:t>
            </w:r>
          </w:p>
        </w:tc>
      </w:tr>
      <w:tr>
        <w:tc>
          <w:tcPr>
            <w:tcW w:type="dxa" w:w="576"/>
          </w:tcPr>
          <w:p>
            <w:r>
              <w:t>Year-to-date revenues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72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$234</w:t>
            </w:r>
          </w:p>
        </w:tc>
        <w:tc>
          <w:tcPr>
            <w:tcW w:type="dxa" w:w="576"/>
          </w:tcPr>
          <w:p>
            <w:r>
              <w:t>$ -</w:t>
            </w:r>
          </w:p>
        </w:tc>
        <w:tc>
          <w:tcPr>
            <w:tcW w:type="dxa" w:w="576"/>
          </w:tcPr>
          <w:p>
            <w:r>
              <w:t>$ 306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$ 99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233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-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$ 332</w:t>
            </w:r>
          </w:p>
        </w:tc>
      </w:tr>
      <w:tr>
        <w:tc>
          <w:tcPr>
            <w:tcW w:type="dxa" w:w="576"/>
          </w:tcPr>
          <w:p>
            <w:r>
              <w:t>Property and equipment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85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42</w:t>
            </w:r>
          </w:p>
        </w:tc>
        <w:tc>
          <w:tcPr>
            <w:tcW w:type="dxa" w:w="576"/>
          </w:tcPr>
          <w:p>
            <w:r>
              <w:t>$13</w:t>
            </w:r>
          </w:p>
        </w:tc>
        <w:tc>
          <w:tcPr>
            <w:tcW w:type="dxa" w:w="576"/>
          </w:tcPr>
          <w:p>
            <w:r>
              <w:t>$ 140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86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47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$15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148</w:t>
            </w:r>
          </w:p>
        </w:tc>
      </w:tr>
      <w:tr>
        <w:tc>
          <w:tcPr>
            <w:tcW w:type="dxa" w:w="576"/>
          </w:tcPr>
          <w:p>
            <w:r>
              <w:t>Intangible assets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53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40</w:t>
            </w:r>
          </w:p>
        </w:tc>
        <w:tc>
          <w:tcPr>
            <w:tcW w:type="dxa" w:w="576"/>
          </w:tcPr>
          <w:p>
            <w:r>
              <w:t>$ -</w:t>
            </w:r>
          </w:p>
        </w:tc>
        <w:tc>
          <w:tcPr>
            <w:tcW w:type="dxa" w:w="576"/>
          </w:tcPr>
          <w:p>
            <w:r>
              <w:t>$ 93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92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47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-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139</w:t>
            </w:r>
          </w:p>
        </w:tc>
      </w:tr>
      <w:tr>
        <w:tc>
          <w:tcPr>
            <w:tcW w:type="dxa" w:w="576"/>
          </w:tcPr>
          <w:p>
            <w:r>
              <w:t>Goodwill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$ 107</w:t>
            </w:r>
          </w:p>
        </w:tc>
        <w:tc>
          <w:tcPr>
            <w:tcW w:type="dxa" w:w="576"/>
          </w:tcPr>
          <w:p>
            <w:r>
              <w:t>$ 150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-</w:t>
            </w:r>
          </w:p>
        </w:tc>
        <w:tc>
          <w:tcPr>
            <w:tcW w:type="dxa" w:w="576"/>
          </w:tcPr>
          <w:p>
            <w:r>
              <w:t>$ 257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114</w:t>
            </w:r>
          </w:p>
        </w:tc>
        <w:tc>
          <w:tcPr>
            <w:tcW w:type="dxa" w:w="576"/>
          </w:tcPr>
          <w:p>
            <w:r>
              <w:t>$</w:t>
            </w:r>
          </w:p>
        </w:tc>
        <w:tc>
          <w:tcPr>
            <w:tcW w:type="dxa" w:w="576"/>
          </w:tcPr>
          <w:p>
            <w:r>
              <w:t>150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 -</w:t>
            </w:r>
          </w:p>
        </w:tc>
        <w:tc>
          <w:tcPr>
            <w:tcW w:type="dxa" w:w="576"/>
          </w:tcPr>
          <w:p>
            <w:r>
              <w:t xml:space="preserve"> </w:t>
            </w:r>
          </w:p>
        </w:tc>
        <w:tc>
          <w:tcPr>
            <w:tcW w:type="dxa" w:w="576"/>
          </w:tcPr>
          <w:p>
            <w:r>
              <w:t>$264</w:t>
            </w:r>
          </w:p>
        </w:tc>
      </w:tr>
    </w:tbl>
    <w:p>
      <w:pPr>
        <w:ind w:firstLine="360"/>
      </w:pPr>
      <w:r>
        <w:rPr>
          <w:sz w:val="20"/>
        </w:rPr>
        <w:t xml:space="preserve">1 </w:t>
      </w:r>
      <w:r>
        <w:rPr>
          <w:sz w:val="20"/>
        </w:rPr>
        <w:t xml:space="preserve">Revenues attributed to geographic areas are based on the location of the asset management entities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