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Notes to the Consolidated Financial Statements</w:t>
      </w:r>
    </w:p>
    <w:p>
      <w:pPr>
        <w:pStyle w:val="Heading1"/>
      </w:pPr>
      <w:r>
        <w:t>28.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following table provides information for PP&amp;E, right-of-use assets, contract costs and intangible assets based on their </w:t>
      </w:r>
      <w:r>
        <w:rPr>
          <w:sz w:val="20"/>
        </w:rPr>
        <w:t xml:space="preserve">location: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Rest of the world </w:t>
      </w:r>
    </w:p>
    <w:p>
      <w:pPr>
        <w:pStyle w:val="Heading1"/>
      </w:pPr>
      <w:r>
        <w:t>INFORMATION ABOUT SERVICES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following table provides revenue information based on services provided by the Company for the year ende </w:t>
      </w:r>
      <w:r>
        <w:rPr>
          <w:sz w:val="20"/>
        </w:rPr>
        <w:t xml:space="preserve">September 30: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Managed IT and business process services </w:t>
      </w:r>
    </w:p>
    <w:p>
      <w:pPr>
        <w:ind w:firstLine="360"/>
      </w:pPr>
      <w:r>
        <w:rPr>
          <w:sz w:val="20"/>
        </w:rPr>
        <w:t xml:space="preserve">Business and strategic IT consulting and systems integration services </w:t>
      </w:r>
    </w:p>
    <w:p>
      <w:pPr>
        <w:pStyle w:val="Heading1"/>
      </w:pPr>
      <w:r>
        <w:t>MAJOR CLIENT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Contracts with the U.S.federal government and its various agencies,included within the U.S.Federal operating segment </w:t>
      </w:r>
      <w:r>
        <w:rPr>
          <w:sz w:val="20"/>
        </w:rPr>
        <w:t xml:space="preserve">accounted for$1,705,173,000 and 13.3% of revenues for the year ended September 30,2022 $1,550,345,000and 12.8% for </w:t>
      </w:r>
      <w:r>
        <w:rPr>
          <w:sz w:val="20"/>
        </w:rPr>
        <w:t xml:space="preserve">the year ended September 30,2021)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