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Notes to the Consolidated Financial Statements</w:t>
      </w:r>
    </w:p>
    <w:p>
      <w:pPr>
        <w:pStyle w:val="Heading1"/>
      </w:pPr>
      <w:r>
        <w:t>29.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year ended September 30,2021,the Company entered into a share conversion transaction with a related pa </w:t>
      </w:r>
      <w:r>
        <w:rPr>
          <w:sz w:val="20"/>
        </w:rPr>
        <w:t xml:space="preserve">ed in Note 19.As a result, the Company and related subsidiaries are controlled by the Founder and Executive </w:t>
      </w:r>
      <w:r>
        <w:rPr>
          <w:sz w:val="20"/>
        </w:rPr>
        <w:t xml:space="preserve">lan of the Board.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a)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Balances and transactions between the Company and its subsidiaries have been eliminated on consolidation.T </w:t>
      </w:r>
      <w:r>
        <w:rPr>
          <w:sz w:val="20"/>
        </w:rPr>
        <w:t xml:space="preserve">owns 100% of the equity interests of its principal subsidiaries. </w:t>
      </w:r>
    </w:p>
    <w:p>
      <w:pPr>
        <w:ind w:firstLine="360"/>
      </w:pPr>
      <w:r>
        <w:rPr>
          <w:sz w:val="20"/>
        </w:rPr>
        <w:t xml:space="preserve">The Company's principal subsidiaries whose revenues, based on the geographic delivery model, represent more than 3% of </w:t>
      </w:r>
      <w:r>
        <w:rPr>
          <w:sz w:val="20"/>
        </w:rPr>
        <w:t xml:space="preserve">the consolidated revenues are as follows: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 of subsidiary</w:t>
            </w:r>
          </w:p>
        </w:tc>
        <w:tc>
          <w:tcPr>
            <w:tcW w:type="dxa" w:w="4320"/>
          </w:tcPr>
          <w:p>
            <w:r>
              <w:t>Country of incorporation</w:t>
            </w:r>
          </w:p>
        </w:tc>
      </w:tr>
      <w:tr>
        <w:tc>
          <w:tcPr>
            <w:tcW w:type="dxa" w:w="4320"/>
          </w:tcPr>
          <w:p>
            <w:r>
              <w:t>CGI Technologies and Solutions Inc.</w:t>
            </w:r>
          </w:p>
        </w:tc>
        <w:tc>
          <w:tcPr>
            <w:tcW w:type="dxa" w:w="4320"/>
          </w:tcPr>
          <w:p>
            <w:r>
              <w:t>United States</w:t>
            </w:r>
          </w:p>
        </w:tc>
      </w:tr>
      <w:tr>
        <w:tc>
          <w:tcPr>
            <w:tcW w:type="dxa" w:w="4320"/>
          </w:tcPr>
          <w:p>
            <w:r>
              <w:t>CGI France SAS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CGI Federal Inc.e</w:t>
            </w:r>
          </w:p>
        </w:tc>
        <w:tc>
          <w:tcPr>
            <w:tcW w:type="dxa" w:w="4320"/>
          </w:tcPr>
          <w:p>
            <w:r>
              <w:t>United States</w:t>
            </w:r>
          </w:p>
        </w:tc>
      </w:tr>
      <w:tr>
        <w:tc>
          <w:tcPr>
            <w:tcW w:type="dxa" w:w="4320"/>
          </w:tcPr>
          <w:p>
            <w:r>
              <w:t>CGIIT UK Limited</w:t>
            </w:r>
          </w:p>
        </w:tc>
        <w:tc>
          <w:tcPr>
            <w:tcW w:type="dxa" w:w="4320"/>
          </w:tcPr>
          <w:p>
            <w:r>
              <w:t>United Kingdom</w:t>
            </w:r>
          </w:p>
        </w:tc>
      </w:tr>
      <w:tr>
        <w:tc>
          <w:tcPr>
            <w:tcW w:type="dxa" w:w="4320"/>
          </w:tcPr>
          <w:p>
            <w:r>
              <w:t>CGI Information Systems and Management Consultants Inc.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Conseillers en gestion et informatique CGl Inc.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CGI Deutschland B.V.&amp; Co KG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CGI Sverige AB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CGI Suomi OY</w:t>
            </w:r>
          </w:p>
        </w:tc>
        <w:tc>
          <w:tcPr>
            <w:tcW w:type="dxa" w:w="4320"/>
          </w:tcPr>
          <w:p>
            <w:r>
              <w:t xml:space="preserve"> Finland</w:t>
            </w:r>
          </w:p>
        </w:tc>
      </w:tr>
      <w:tr>
        <w:tc>
          <w:tcPr>
            <w:tcW w:type="dxa" w:w="4320"/>
          </w:tcPr>
          <w:p>
            <w:r>
              <w:t>CGI Information Systems and Management Consultants Private Limited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CGI Nederland BV</w:t>
            </w:r>
          </w:p>
        </w:tc>
        <w:tc>
          <w:tcPr>
            <w:tcW w:type="dxa" w:w="4320"/>
          </w:tcPr>
          <w:p>
            <w:r>
              <w:t xml:space="preserve"> Netherlands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b)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nsation of key management personnel, currently defined as the executive officers and the Board of Directors of t </w:t>
      </w:r>
      <w:r>
        <w:rPr>
          <w:sz w:val="20"/>
        </w:rPr>
        <w:t xml:space="preserve">ny,was as follows for the year ended September 30: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$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34,430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30,325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23,819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19,727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