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Independent Auditor's Report</w:t>
      </w:r>
    </w:p>
    <w:p>
      <w:pPr>
        <w:ind w:firstLine="360"/>
      </w:pPr>
      <w:r>
        <w:rPr>
          <w:sz w:val="20"/>
        </w:rPr>
        <w:t xml:space="preserve">To the Shareholders of Great-West Lifeco Inc </w:t>
      </w:r>
    </w:p>
    <w:p>
      <w:pPr>
        <w:pStyle w:val="Heading1"/>
      </w:pPr>
      <w:r>
        <w:t>Opinion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 have audited the consolidated financial statements of Great-West Lifeco Inc.(the "Company"),which </w:t>
      </w:r>
      <w:r>
        <w:rPr>
          <w:sz w:val="20"/>
        </w:rPr>
        <w:t xml:space="preserve">comprise the consolidated balance sheets as at December 31,2022 and 2021,and the consolidated </w:t>
      </w:r>
      <w:r>
        <w:rPr>
          <w:sz w:val="20"/>
        </w:rPr>
        <w:t xml:space="preserve">statements of earnings, comprehensive income, changes in equity and cash flows for the years then ended </w:t>
      </w:r>
      <w:r>
        <w:rPr>
          <w:sz w:val="20"/>
        </w:rPr>
        <w:t xml:space="preserve">and notes to the consolidated financial statements, including a summary of significant accounting policies </w:t>
      </w:r>
      <w:r>
        <w:rPr>
          <w:sz w:val="20"/>
        </w:rPr>
        <w:t xml:space="preserve">collectively referred to as the"financial statements" </w:t>
      </w:r>
    </w:p>
    <w:p>
      <w:pPr>
        <w:ind w:firstLine="360"/>
      </w:pPr>
      <w:r>
        <w:rPr>
          <w:sz w:val="20"/>
        </w:rPr>
        <w:t xml:space="preserve">In our opinion, the accompanying financial statements present fairly,in all material respects,the financial </w:t>
      </w:r>
      <w:r>
        <w:rPr>
          <w:sz w:val="20"/>
        </w:rPr>
        <w:t xml:space="preserve">position of the Company as at December 31,2022 and 2021,and its financial performance and its cash flows </w:t>
      </w:r>
      <w:r>
        <w:rPr>
          <w:sz w:val="20"/>
        </w:rPr>
        <w:t xml:space="preserve">for the years then ended in accordance with International Financial Reporting Standards ("IFRs)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Basis for Opinion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We conducted our audit in accordance with Canadian generally accepted auditing standards (Canadian </w:t>
      </w:r>
      <w:r>
        <w:rPr>
          <w:sz w:val="20"/>
        </w:rPr>
        <w:t xml:space="preserve">GAAs".Our responsibilities under those standards are further described in the Auditor's Responsibilities for </w:t>
      </w:r>
      <w:r>
        <w:rPr>
          <w:sz w:val="20"/>
        </w:rPr>
        <w:t xml:space="preserve">the Audit of the Financial Statements section of our report. We are independent of the Company in </w:t>
      </w:r>
      <w:r>
        <w:rPr>
          <w:sz w:val="20"/>
        </w:rPr>
        <w:t xml:space="preserve">accordance with the ethical requirements that are relevant to our audit of the financial statements in Canada. </w:t>
      </w:r>
      <w:r>
        <w:rPr>
          <w:sz w:val="20"/>
        </w:rPr>
        <w:t xml:space="preserve">and we have fulfilled our other ethical responsibilities in accordance with these requirements.We believe tha </w:t>
      </w:r>
      <w:r>
        <w:rPr>
          <w:sz w:val="20"/>
        </w:rPr>
        <w:t xml:space="preserve">the audit evidence we have obtained is sufficient and appropriate to provide a basis for our opinion.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Key Audit Matters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Key audit matters are those matters that,in our professional judgment, were of most significance in our </w:t>
      </w:r>
      <w:r>
        <w:rPr>
          <w:sz w:val="20"/>
        </w:rPr>
        <w:t xml:space="preserve">audit of the consolidated financial statements for the year ended December 31,2022.These matters were </w:t>
      </w:r>
      <w:r>
        <w:rPr>
          <w:sz w:val="20"/>
        </w:rPr>
        <w:t xml:space="preserve">addressed in the context of our audit of the consolidated financial statements as a whole, and in forming our </w:t>
      </w:r>
      <w:r>
        <w:rPr>
          <w:sz w:val="20"/>
        </w:rPr>
        <w:t xml:space="preserve">opinion thereon,and we do not provide a separate opinion on these matters. </w:t>
      </w:r>
    </w:p>
    <w:p>
      <w:pPr>
        <w:pStyle w:val="Heading1"/>
      </w:pPr>
      <w:r>
        <w:t>Insurance Contract Liabilities-Refer to Notes 2 and 13 to the financial statements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pStyle w:val="Heading1"/>
      </w:pPr>
      <w:r>
        <w:t>Key Audit Matter Description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p>
      <w:pPr>
        <w:ind w:firstLine="360"/>
      </w:pPr>
      <w:r>
        <w:rPr>
          <w:sz w:val="20"/>
        </w:rPr>
        <w:t xml:space="preserve">The Company has insurance contract liabilities representing a significant portion of its total liabilities. </w:t>
      </w:r>
      <w:r>
        <w:rPr>
          <w:sz w:val="20"/>
        </w:rPr>
        <w:t xml:space="preserve">Insurance contract liabilities are determined in accordance with generally accepted actuarial practices </w:t>
      </w:r>
      <w:r>
        <w:rPr>
          <w:sz w:val="20"/>
        </w:rPr>
        <w:t xml:space="preserve">established by the Canadian Institute of Actuaries using the Canadian Asset Liability Method (CALM).This </w:t>
      </w:r>
      <w:r>
        <w:rPr>
          <w:sz w:val="20"/>
        </w:rPr>
        <w:t xml:space="preserve">method requires the use of complex valuation models incorporating projections of cash inflows and outflows </w:t>
      </w:r>
      <w:r>
        <w:rPr>
          <w:sz w:val="20"/>
        </w:rPr>
        <w:t xml:space="preserve">using the best estimate of future experience together with a margin for adverse deviation. </w:t>
      </w:r>
    </w:p>
    <w:p>
      <w:pPr>
        <w:ind w:firstLine="360"/>
      </w:pPr>
      <w:r>
        <w:rPr>
          <w:sz w:val="20"/>
        </w:rPr>
        <w:t xml:space="preserve">While there are many assumptions which management makes, the assumptions with the greatest estimatior </w:t>
      </w:r>
      <w:r>
        <w:rPr>
          <w:sz w:val="20"/>
        </w:rPr>
        <w:t xml:space="preserve">uncertainty are those related to mortality,including the impact,if any,of the CovID-19 pandemic,and </w:t>
      </w:r>
      <w:r>
        <w:rPr>
          <w:sz w:val="20"/>
        </w:rPr>
        <w:t xml:space="preserve">oolicyholder behaviour. These assumptions required siqnificant auditor attention in specific circumstances </w:t>
      </w:r>
      <w:r>
        <w:rPr>
          <w:sz w:val="20"/>
        </w:rPr>
        <w:t xml:space="preserve">where (i there is limited Company and industry experience data,and (ii the historical experience may not </w:t>
      </w:r>
      <w:r>
        <w:rPr>
          <w:sz w:val="20"/>
        </w:rPr>
        <w:t xml:space="preserve">be a good indicator of the future.Auditing of certain valuation models,mortality and policyholder behaviour </w:t>
      </w:r>
      <w:r>
        <w:rPr>
          <w:sz w:val="20"/>
        </w:rPr>
        <w:t xml:space="preserve">assumptions required a high degree of auditor judgment and an increased extent of audit effort, including </w:t>
      </w:r>
      <w:r>
        <w:rPr>
          <w:sz w:val="20"/>
        </w:rPr>
        <w:t xml:space="preserve">the need to involve actuarial specialists.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