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CCL Industries Inc.</w:t>
      </w:r>
    </w:p>
    <w:p>
      <w:pPr>
        <w:pStyle w:val="Heading1"/>
      </w:pPr>
      <w:r>
        <w:t>es to the consolidated financial statements (co</w:t>
      </w:r>
    </w:p>
    <w:p>
      <w:pPr>
        <w:ind w:firstLine="360"/>
      </w:pPr>
      <w:r>
        <w:rPr>
          <w:sz w:val="20"/>
        </w:rPr>
        <w:t xml:space="preserve">In millions of Canadian dollars, </w:t>
      </w:r>
      <w:r>
        <w:rPr>
          <w:sz w:val="20"/>
        </w:rPr>
        <w:t xml:space="preserve">per share information </w:t>
      </w:r>
    </w:p>
    <w:p>
      <w:pPr>
        <w:pStyle w:val="Heading1"/>
      </w:pPr>
      <w:r>
        <w:t>4.</w:t>
      </w:r>
    </w:p>
    <w:p>
      <w:pPr>
        <w:pStyle w:val="Heading1"/>
      </w:pPr>
      <w:r>
        <w:t>(b) Geographical segments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CCL,Avery, Checkpoint and Innovia Segments are managed on a worldwide basis but operate in the </w:t>
      </w:r>
      <w:r>
        <w:rPr>
          <w:sz w:val="20"/>
        </w:rPr>
        <w:t xml:space="preserve">following geographical areas: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Canada; </w:t>
      </w:r>
      <w:r>
        <w:rPr>
          <w:sz w:val="20"/>
        </w:rPr>
        <w:t xml:space="preserve">United States and Puerto Rico </w:t>
      </w:r>
      <w:r>
        <w:rPr>
          <w:sz w:val="20"/>
        </w:rPr>
        <w:t xml:space="preserve">Mexico, Brazil, Chile and Argentina </w:t>
      </w:r>
      <w:r>
        <w:rPr>
          <w:sz w:val="20"/>
        </w:rPr>
        <w:t xml:space="preserve">Europe; and </w:t>
      </w:r>
      <w:r>
        <w:rPr>
          <w:sz w:val="20"/>
        </w:rPr>
        <w:t xml:space="preserve">Asia,Australia,Africa and New Zealar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ne qeographical seqment is determined based on the location from which the sale is made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5.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a) Acquisitions in 2022 </w:t>
      </w:r>
      <w:r>
        <w:rPr>
          <w:sz w:val="20"/>
        </w:rPr>
        <w:t xml:space="preserve">In January 2022,the Company acquired privately owned McGavigan Holdings Ltd.McGavigan'),headqu </w:t>
      </w:r>
      <w:r>
        <w:rPr>
          <w:sz w:val="20"/>
        </w:rPr>
        <w:t xml:space="preserve">in Glasgow,Scotland and with significant manufacturing operations in China, for $103.6 million net of </w:t>
      </w:r>
      <w:r>
        <w:rPr>
          <w:sz w:val="20"/>
        </w:rPr>
        <w:t xml:space="preserve">acquired and debt assumed. McGavigan is a leading supplier of "in mould' decorated component </w:t>
      </w:r>
      <w:r>
        <w:rPr>
          <w:sz w:val="20"/>
        </w:rPr>
        <w:t xml:space="preserve">automotive interiors and is an integral part of CCL Design. </w:t>
      </w:r>
      <w:r>
        <w:rPr>
          <w:sz w:val="20"/>
        </w:rPr>
        <w:t xml:space="preserve">The following table summarizes the allocation of the consideration to the fair value of the assets acquirec </w:t>
      </w:r>
      <w:r>
        <w:rPr>
          <w:sz w:val="20"/>
        </w:rPr>
        <w:t xml:space="preserve">liabilities assumed for the McGavigan acquisition: </w:t>
      </w:r>
      <w:r>
        <w:rPr>
          <w:sz w:val="20"/>
        </w:rPr>
        <w:t xml:space="preserve">Cash consideration, net of cash acquired </w:t>
      </w:r>
      <w:r>
        <w:rPr>
          <w:sz w:val="20"/>
        </w:rPr>
        <w:t xml:space="preserve">$ </w:t>
      </w:r>
      <w:r>
        <w:rPr>
          <w:sz w:val="20"/>
        </w:rPr>
        <w:t xml:space="preserve">Assumed debt </w:t>
      </w:r>
      <w:r>
        <w:rPr>
          <w:sz w:val="20"/>
        </w:rPr>
        <w:t xml:space="preserve">$ </w:t>
      </w:r>
      <w:r>
        <w:rPr>
          <w:sz w:val="20"/>
        </w:rPr>
        <w:t xml:space="preserve">1 </w:t>
      </w:r>
      <w:r>
        <w:rPr>
          <w:sz w:val="20"/>
        </w:rPr>
        <w:t xml:space="preserve">Trade and other receivables </w:t>
      </w:r>
      <w:r>
        <w:rPr>
          <w:sz w:val="20"/>
        </w:rPr>
        <w:t xml:space="preserve">$ </w:t>
      </w:r>
      <w:r>
        <w:rPr>
          <w:sz w:val="20"/>
        </w:rPr>
        <w:t xml:space="preserve">Inventories </w:t>
      </w:r>
      <w:r>
        <w:rPr>
          <w:sz w:val="20"/>
        </w:rPr>
        <w:t xml:space="preserve">Property,plant and equipment </w:t>
      </w:r>
      <w:r>
        <w:rPr>
          <w:sz w:val="20"/>
        </w:rPr>
        <w:t xml:space="preserve">Right-of-use assets </w:t>
      </w:r>
      <w:r>
        <w:rPr>
          <w:sz w:val="20"/>
        </w:rPr>
        <w:t xml:space="preserve">Goodwill </w:t>
      </w:r>
      <w:r>
        <w:rPr>
          <w:sz w:val="20"/>
        </w:rPr>
        <w:t xml:space="preserve">Intangible assets </w:t>
      </w:r>
      <w:r>
        <w:rPr>
          <w:sz w:val="20"/>
        </w:rPr>
        <w:t xml:space="preserve">Deferred tax assets </w:t>
      </w:r>
      <w:r>
        <w:rPr>
          <w:sz w:val="20"/>
        </w:rPr>
        <w:t xml:space="preserve">Trade and other payables </w:t>
      </w:r>
      <w:r>
        <w:rPr>
          <w:sz w:val="20"/>
        </w:rPr>
        <w:t xml:space="preserve">(1 </w:t>
      </w:r>
      <w:r>
        <w:rPr>
          <w:sz w:val="20"/>
        </w:rPr>
        <w:t xml:space="preserve">Income taxes payable </w:t>
      </w:r>
      <w:r>
        <w:rPr>
          <w:sz w:val="20"/>
        </w:rPr>
        <w:t xml:space="preserve">Lease liabilities </w:t>
      </w:r>
      <w:r>
        <w:rPr>
          <w:sz w:val="20"/>
        </w:rPr>
        <w:t xml:space="preserve">Deferred tax liabilities </w:t>
      </w:r>
      <w:r>
        <w:rPr>
          <w:sz w:val="20"/>
        </w:rPr>
        <w:t xml:space="preserve">Net assets acquired </w:t>
      </w:r>
      <w:r>
        <w:rPr>
          <w:sz w:val="20"/>
        </w:rPr>
        <w:t xml:space="preserve">$ </w:t>
      </w:r>
      <w:r>
        <w:rPr>
          <w:sz w:val="20"/>
        </w:rPr>
        <w:t xml:space="preserve">1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$</w:t>
            </w:r>
          </w:p>
        </w:tc>
        <w:tc>
          <w:tcPr>
            <w:tcW w:type="dxa" w:w="4320"/>
          </w:tcPr>
          <w:p>
            <w:r>
              <w:t>94.3 9.3</w:t>
            </w:r>
          </w:p>
        </w:tc>
      </w:tr>
      <w:tr>
        <w:tc>
          <w:tcPr>
            <w:tcW w:type="dxa" w:w="4320"/>
          </w:tcPr>
          <w:p>
            <w:r>
              <w:t>$</w:t>
            </w:r>
          </w:p>
        </w:tc>
        <w:tc>
          <w:tcPr>
            <w:tcW w:type="dxa" w:w="4320"/>
          </w:tcPr>
          <w:p>
            <w:r>
              <w:t>103.6</w:t>
            </w:r>
          </w:p>
        </w:tc>
      </w:tr>
      <w:tr>
        <w:tc>
          <w:tcPr>
            <w:tcW w:type="dxa" w:w="4320"/>
          </w:tcPr>
          <w:p>
            <w:r>
              <w:t>$</w:t>
            </w:r>
          </w:p>
        </w:tc>
        <w:tc>
          <w:tcPr>
            <w:tcW w:type="dxa" w:w="4320"/>
          </w:tcPr>
          <w:p>
            <w:r>
              <w:t>14.7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6.8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23.2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10.2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51.7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17.5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(11.5)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(0.9)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(7.5)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>(4.3)</w:t>
            </w:r>
          </w:p>
        </w:tc>
      </w:tr>
      <w:tr>
        <w:tc>
          <w:tcPr>
            <w:tcW w:type="dxa" w:w="4320"/>
          </w:tcPr>
          <w:p>
            <w:r>
              <w:t>$</w:t>
            </w:r>
          </w:p>
        </w:tc>
        <w:tc>
          <w:tcPr>
            <w:tcW w:type="dxa" w:w="4320"/>
          </w:tcPr>
          <w:p>
            <w:r>
              <w:t>103.6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