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665"/>
        <w:gridCol w:w="665"/>
        <w:gridCol w:w="665"/>
        <w:gridCol w:w="665"/>
        <w:gridCol w:w="665"/>
        <w:gridCol w:w="665"/>
        <w:gridCol w:w="665"/>
        <w:gridCol w:w="665"/>
        <w:gridCol w:w="665"/>
        <w:gridCol w:w="665"/>
        <w:gridCol w:w="665"/>
        <w:gridCol w:w="665"/>
        <w:gridCol w:w="665"/>
      </w:tblGrid>
      <w:tr>
        <w:tc>
          <w:tcPr>
            <w:tcW w:type="dxa" w:w="3325"/>
            <w:gridSpan w:val="5"/>
            <w:vMerge w:val="restart"/>
          </w:tcPr>
          <w:p>
            <w:r>
              <w:t>For the year ended December 31, 2021</w:t>
            </w:r>
          </w:p>
          <w:p>
            <w:r>
              <w:t>Canadian Malartic</w:t>
            </w:r>
          </w:p>
          <w:p>
            <w:r>
              <w:t xml:space="preserve"> </w:t>
            </w:r>
          </w:p>
        </w:tc>
        <w:tc>
          <w:tcPr>
            <w:tcW w:type="dxa" w:w="1330"/>
            <w:gridSpan w:val="2"/>
            <w:vMerge w:val="restart"/>
          </w:tcPr>
          <w:p>
            <w:r>
              <w:t>Cerro Moro EI Penon</w:t>
            </w:r>
          </w:p>
        </w:tc>
        <w:tc>
          <w:tcPr>
            <w:tcW w:type="dxa" w:w="1330"/>
            <w:gridSpan w:val="2"/>
            <w:vMerge w:val="restart"/>
          </w:tcPr>
          <w:p>
            <w:r>
              <w:t>Minera Florida</w:t>
            </w:r>
          </w:p>
        </w:tc>
        <w:tc>
          <w:tcPr>
            <w:tcW w:type="dxa" w:w="1330"/>
            <w:gridSpan w:val="2"/>
            <w:vMerge w:val="restart"/>
          </w:tcPr>
          <w:p>
            <w:r>
              <w:t>Corporate and other</w:t>
            </w:r>
          </w:p>
        </w:tc>
        <w:tc>
          <w:tcPr>
            <w:tcW w:type="dxa" w:w="1330"/>
            <w:gridSpan w:val="2"/>
            <w:vMerge w:val="restart"/>
          </w:tcPr>
          <w:p>
            <w:r>
              <w:t>Total</w:t>
            </w:r>
          </w:p>
        </w:tc>
      </w:tr>
      <w:tr>
        <w:tc>
          <w:tcPr>
            <w:tcW w:type="dxa" w:w="3325"/>
            <w:gridSpan w:val="5"/>
            <w:vMerge/>
          </w:tcPr>
          <w:p/>
        </w:tc>
        <w:tc>
          <w:tcPr>
            <w:tcW w:type="dxa" w:w="1330"/>
            <w:gridSpan w:val="2"/>
            <w:vMerge/>
          </w:tcPr>
          <w:p/>
        </w:tc>
        <w:tc>
          <w:tcPr>
            <w:tcW w:type="dxa" w:w="1330"/>
            <w:gridSpan w:val="2"/>
            <w:vMerge/>
          </w:tcPr>
          <w:p/>
        </w:tc>
        <w:tc>
          <w:tcPr>
            <w:tcW w:type="dxa" w:w="1330"/>
            <w:gridSpan w:val="2"/>
            <w:vMerge/>
          </w:tcPr>
          <w:p/>
        </w:tc>
        <w:tc>
          <w:tcPr>
            <w:tcW w:type="dxa" w:w="1330"/>
            <w:gridSpan w:val="2"/>
            <w:vMerge/>
          </w:tcPr>
          <w:p/>
        </w:tc>
      </w:tr>
      <w:tr>
        <w:tc>
          <w:tcPr>
            <w:tcW w:type="dxa" w:w="665"/>
          </w:tcPr>
          <w:p>
            <w:r>
              <w:t>Revenue</w:t>
            </w:r>
          </w:p>
        </w:tc>
        <w:tc>
          <w:tcPr>
            <w:tcW w:type="dxa" w:w="665"/>
          </w:tcPr>
          <w:p>
            <w:r>
              <w:t>$</w:t>
            </w:r>
          </w:p>
        </w:tc>
        <w:tc>
          <w:tcPr>
            <w:tcW w:type="dxa" w:w="665"/>
          </w:tcPr>
          <w:p>
            <w:r>
              <w:t>643.2$</w:t>
            </w:r>
          </w:p>
        </w:tc>
        <w:tc>
          <w:tcPr>
            <w:tcW w:type="dxa" w:w="665"/>
          </w:tcPr>
          <w:p>
            <w:r>
              <w:t xml:space="preserve"> </w:t>
            </w:r>
          </w:p>
        </w:tc>
        <w:tc>
          <w:tcPr>
            <w:tcW w:type="dxa" w:w="665"/>
          </w:tcPr>
          <w:p>
            <w:r>
              <w:t>Jacobina 336.2$</w:t>
            </w:r>
          </w:p>
        </w:tc>
        <w:tc>
          <w:tcPr>
            <w:tcW w:type="dxa" w:w="665"/>
          </w:tcPr>
          <w:p>
            <w:r>
              <w:t xml:space="preserve"> </w:t>
            </w:r>
          </w:p>
        </w:tc>
        <w:tc>
          <w:tcPr>
            <w:tcW w:type="dxa" w:w="665"/>
          </w:tcPr>
          <w:p>
            <w:r>
              <w:t>276.5$</w:t>
            </w:r>
          </w:p>
        </w:tc>
        <w:tc>
          <w:tcPr>
            <w:tcW w:type="dxa" w:w="665"/>
          </w:tcPr>
          <w:p>
            <w:r>
              <w:t>401.5$</w:t>
            </w:r>
          </w:p>
        </w:tc>
        <w:tc>
          <w:tcPr>
            <w:tcW w:type="dxa" w:w="665"/>
          </w:tcPr>
          <w:p>
            <w:r>
              <w:t xml:space="preserve"> </w:t>
            </w:r>
          </w:p>
        </w:tc>
        <w:tc>
          <w:tcPr>
            <w:tcW w:type="dxa" w:w="665"/>
          </w:tcPr>
          <w:p>
            <w:r>
              <w:t>158.0$</w:t>
            </w:r>
          </w:p>
        </w:tc>
        <w:tc>
          <w:tcPr>
            <w:tcW w:type="dxa" w:w="665"/>
          </w:tcPr>
          <w:p>
            <w:r>
              <w:t xml:space="preserve"> </w:t>
            </w:r>
          </w:p>
        </w:tc>
        <w:tc>
          <w:tcPr>
            <w:tcW w:type="dxa" w:w="665"/>
          </w:tcPr>
          <w:p>
            <w:r>
              <w:t xml:space="preserve"> </w:t>
            </w:r>
          </w:p>
        </w:tc>
        <w:tc>
          <w:tcPr>
            <w:tcW w:type="dxa" w:w="665"/>
          </w:tcPr>
          <w:p>
            <w:r>
              <w:t>$1,815.4</w:t>
            </w:r>
          </w:p>
        </w:tc>
      </w:tr>
      <w:tr>
        <w:tc>
          <w:tcPr>
            <w:tcW w:type="dxa" w:w="665"/>
          </w:tcPr>
          <w:p>
            <w:r>
              <w:t>Cost of sales excluding DDA(v</w:t>
            </w:r>
          </w:p>
        </w:tc>
        <w:tc>
          <w:tcPr>
            <w:tcW w:type="dxa" w:w="665"/>
          </w:tcPr>
          <w:p>
            <w:r>
              <w:t xml:space="preserve"> </w:t>
            </w:r>
          </w:p>
        </w:tc>
        <w:tc>
          <w:tcPr>
            <w:tcW w:type="dxa" w:w="665"/>
          </w:tcPr>
          <w:p>
            <w:r>
              <w:t>(233.8)</w:t>
            </w:r>
          </w:p>
        </w:tc>
        <w:tc>
          <w:tcPr>
            <w:tcW w:type="dxa" w:w="665"/>
          </w:tcPr>
          <w:p>
            <w:r>
              <w:t xml:space="preserve"> </w:t>
            </w:r>
          </w:p>
        </w:tc>
        <w:tc>
          <w:tcPr>
            <w:tcW w:type="dxa" w:w="665"/>
          </w:tcPr>
          <w:p>
            <w:r>
              <w:t>(106.7)</w:t>
            </w:r>
          </w:p>
        </w:tc>
        <w:tc>
          <w:tcPr>
            <w:tcW w:type="dxa" w:w="665"/>
          </w:tcPr>
          <w:p>
            <w:r>
              <w:t>151.3)</w:t>
            </w:r>
          </w:p>
        </w:tc>
        <w:tc>
          <w:tcPr>
            <w:tcW w:type="dxa" w:w="665"/>
          </w:tcPr>
          <w:p>
            <w:r>
              <w:t xml:space="preserve"> </w:t>
            </w:r>
          </w:p>
        </w:tc>
        <w:tc>
          <w:tcPr>
            <w:tcW w:type="dxa" w:w="665"/>
          </w:tcPr>
          <w:p>
            <w:r>
              <w:t>(155.2)</w:t>
            </w:r>
          </w:p>
        </w:tc>
        <w:tc>
          <w:tcPr>
            <w:tcW w:type="dxa" w:w="665"/>
          </w:tcPr>
          <w:p>
            <w:r>
              <w:t>81.9)</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(728.9)</w:t>
            </w:r>
          </w:p>
        </w:tc>
      </w:tr>
      <w:tr>
        <w:tc>
          <w:tcPr>
            <w:tcW w:type="dxa" w:w="665"/>
          </w:tcPr>
          <w:p>
            <w:r>
              <w:t>Gross margin excluding DDA(iv)</w:t>
            </w:r>
          </w:p>
        </w:tc>
        <w:tc>
          <w:tcPr>
            <w:tcW w:type="dxa" w:w="665"/>
          </w:tcPr>
          <w:p>
            <w:r>
              <w:t>$</w:t>
            </w:r>
          </w:p>
        </w:tc>
        <w:tc>
          <w:tcPr>
            <w:tcW w:type="dxa" w:w="665"/>
          </w:tcPr>
          <w:p>
            <w:r>
              <w:t>409.4$</w:t>
            </w:r>
          </w:p>
        </w:tc>
        <w:tc>
          <w:tcPr>
            <w:tcW w:type="dxa" w:w="665"/>
          </w:tcPr>
          <w:p>
            <w:r>
              <w:t xml:space="preserve"> </w:t>
            </w:r>
          </w:p>
        </w:tc>
        <w:tc>
          <w:tcPr>
            <w:tcW w:type="dxa" w:w="665"/>
          </w:tcPr>
          <w:p>
            <w:r>
              <w:t>229.5$</w:t>
            </w:r>
          </w:p>
        </w:tc>
        <w:tc>
          <w:tcPr>
            <w:tcW w:type="dxa" w:w="665"/>
          </w:tcPr>
          <w:p>
            <w:r>
              <w:t xml:space="preserve"> </w:t>
            </w:r>
          </w:p>
        </w:tc>
        <w:tc>
          <w:tcPr>
            <w:tcW w:type="dxa" w:w="665"/>
          </w:tcPr>
          <w:p>
            <w:r>
              <w:t>125.2$</w:t>
            </w:r>
          </w:p>
        </w:tc>
        <w:tc>
          <w:tcPr>
            <w:tcW w:type="dxa" w:w="665"/>
          </w:tcPr>
          <w:p>
            <w:r>
              <w:t>246.3$</w:t>
            </w:r>
          </w:p>
        </w:tc>
        <w:tc>
          <w:tcPr>
            <w:tcW w:type="dxa" w:w="665"/>
          </w:tcPr>
          <w:p>
            <w:r>
              <w:t xml:space="preserve"> </w:t>
            </w:r>
          </w:p>
        </w:tc>
        <w:tc>
          <w:tcPr>
            <w:tcW w:type="dxa" w:w="665"/>
          </w:tcPr>
          <w:p>
            <w:r>
              <w:t>76.1$</w:t>
            </w:r>
          </w:p>
        </w:tc>
        <w:tc>
          <w:tcPr>
            <w:tcW w:type="dxa" w:w="665"/>
          </w:tcPr>
          <w:p>
            <w:r>
              <w:t xml:space="preserve"> </w:t>
            </w:r>
          </w:p>
        </w:tc>
        <w:tc>
          <w:tcPr>
            <w:tcW w:type="dxa" w:w="665"/>
          </w:tcPr>
          <w:p>
            <w:r>
              <w:t>$</w:t>
            </w:r>
          </w:p>
        </w:tc>
        <w:tc>
          <w:tcPr>
            <w:tcW w:type="dxa" w:w="665"/>
          </w:tcPr>
          <w:p>
            <w:r>
              <w:t>1,086.5</w:t>
            </w:r>
          </w:p>
        </w:tc>
      </w:tr>
      <w:tr>
        <w:tc>
          <w:tcPr>
            <w:tcW w:type="dxa" w:w="665"/>
          </w:tcPr>
          <w:p>
            <w:r>
              <w:t>DDA</w:t>
            </w:r>
          </w:p>
        </w:tc>
        <w:tc>
          <w:tcPr>
            <w:tcW w:type="dxa" w:w="665"/>
          </w:tcPr>
          <w:p>
            <w:r>
              <w:t xml:space="preserve"> </w:t>
            </w:r>
          </w:p>
        </w:tc>
        <w:tc>
          <w:tcPr>
            <w:tcW w:type="dxa" w:w="665"/>
          </w:tcPr>
          <w:p>
            <w:r>
              <w:t>(174.7)</w:t>
            </w:r>
          </w:p>
        </w:tc>
        <w:tc>
          <w:tcPr>
            <w:tcW w:type="dxa" w:w="665"/>
          </w:tcPr>
          <w:p>
            <w:r>
              <w:t xml:space="preserve"> </w:t>
            </w:r>
          </w:p>
        </w:tc>
        <w:tc>
          <w:tcPr>
            <w:tcW w:type="dxa" w:w="665"/>
          </w:tcPr>
          <w:p>
            <w:r>
              <w:t>(55.4)</w:t>
            </w:r>
          </w:p>
        </w:tc>
        <w:tc>
          <w:tcPr>
            <w:tcW w:type="dxa" w:w="665"/>
          </w:tcPr>
          <w:p>
            <w:r>
              <w:t xml:space="preserve"> </w:t>
            </w:r>
          </w:p>
        </w:tc>
        <w:tc>
          <w:tcPr>
            <w:tcW w:type="dxa" w:w="665"/>
          </w:tcPr>
          <w:p>
            <w:r>
              <w:t>(74.6)</w:t>
            </w:r>
          </w:p>
        </w:tc>
        <w:tc>
          <w:tcPr>
            <w:tcW w:type="dxa" w:w="665"/>
          </w:tcPr>
          <w:p>
            <w:r>
              <w:t>(85.0)</w:t>
            </w:r>
          </w:p>
        </w:tc>
        <w:tc>
          <w:tcPr>
            <w:tcW w:type="dxa" w:w="665"/>
          </w:tcPr>
          <w:p>
            <w:r>
              <w:t xml:space="preserve"> </w:t>
            </w:r>
          </w:p>
        </w:tc>
        <w:tc>
          <w:tcPr>
            <w:tcW w:type="dxa" w:w="665"/>
          </w:tcPr>
          <w:p>
            <w:r>
              <w:t>(48.5)</w:t>
            </w:r>
          </w:p>
        </w:tc>
        <w:tc>
          <w:tcPr>
            <w:tcW w:type="dxa" w:w="665"/>
          </w:tcPr>
          <w:p>
            <w:r>
              <w:t xml:space="preserve"> </w:t>
            </w:r>
          </w:p>
        </w:tc>
        <w:tc>
          <w:tcPr>
            <w:tcW w:type="dxa" w:w="665"/>
          </w:tcPr>
          <w:p>
            <w:r>
              <w:t>(9.7)</w:t>
            </w:r>
          </w:p>
        </w:tc>
        <w:tc>
          <w:tcPr>
            <w:tcW w:type="dxa" w:w="665"/>
          </w:tcPr>
          <w:p>
            <w:r>
              <w:t>(447.9)</w:t>
            </w:r>
          </w:p>
        </w:tc>
      </w:tr>
      <w:tr>
        <w:tc>
          <w:tcPr>
            <w:tcW w:type="dxa" w:w="665"/>
          </w:tcPr>
          <w:p>
            <w:r>
              <w:t>Temporary suspension costs()</w:t>
            </w:r>
          </w:p>
        </w:tc>
        <w:tc>
          <w:tcPr>
            <w:tcW w:type="dxa" w:w="1330"/>
            <w:gridSpan w:val="2"/>
          </w:tcPr>
          <w:p>
            <w:r>
              <w:t xml:space="preserve"> </w:t>
            </w:r>
          </w:p>
        </w:tc>
        <w:tc>
          <w:tcPr>
            <w:tcW w:type="dxa" w:w="1330"/>
            <w:gridSpan w:val="2"/>
          </w:tcPr>
          <w:p>
            <w:r>
              <w:t xml:space="preserve"> </w:t>
            </w:r>
          </w:p>
        </w:tc>
        <w:tc>
          <w:tcPr>
            <w:tcW w:type="dxa" w:w="1330"/>
            <w:gridSpan w:val="2"/>
          </w:tcPr>
          <w:p>
            <w:r>
              <w:t xml:space="preserve"> </w:t>
            </w:r>
          </w:p>
        </w:tc>
        <w:tc>
          <w:tcPr>
            <w:tcW w:type="dxa" w:w="1330"/>
            <w:gridSpan w:val="2"/>
          </w:tcPr>
          <w:p>
            <w:r>
              <w:t xml:space="preserve"> </w:t>
            </w:r>
          </w:p>
        </w:tc>
        <w:tc>
          <w:tcPr>
            <w:tcW w:type="dxa" w:w="1330"/>
            <w:gridSpan w:val="2"/>
          </w:tcPr>
          <w:p>
            <w:r>
              <w:t>(3.5)</w:t>
            </w:r>
          </w:p>
        </w:tc>
        <w:tc>
          <w:tcPr>
            <w:tcW w:type="dxa" w:w="665"/>
          </w:tcPr>
          <w:p>
            <w:r>
              <w:t xml:space="preserve"> </w:t>
            </w:r>
          </w:p>
        </w:tc>
        <w:tc>
          <w:tcPr>
            <w:tcW w:type="dxa" w:w="665"/>
          </w:tcPr>
          <w:p>
            <w:r>
              <w:t>(3.5)</w:t>
            </w:r>
          </w:p>
        </w:tc>
      </w:tr>
      <w:tr>
        <w:tc>
          <w:tcPr>
            <w:tcW w:type="dxa" w:w="665"/>
          </w:tcPr>
          <w:p>
            <w:r>
              <w:t>Segment income (loss)</w:t>
            </w:r>
          </w:p>
        </w:tc>
        <w:tc>
          <w:tcPr>
            <w:tcW w:type="dxa" w:w="665"/>
          </w:tcPr>
          <w:p>
            <w:r>
              <w:t>$</w:t>
            </w:r>
          </w:p>
        </w:tc>
        <w:tc>
          <w:tcPr>
            <w:tcW w:type="dxa" w:w="665"/>
          </w:tcPr>
          <w:p>
            <w:r>
              <w:t>234.7$</w:t>
            </w:r>
          </w:p>
        </w:tc>
        <w:tc>
          <w:tcPr>
            <w:tcW w:type="dxa" w:w="665"/>
          </w:tcPr>
          <w:p>
            <w:r>
              <w:t xml:space="preserve"> </w:t>
            </w:r>
          </w:p>
        </w:tc>
        <w:tc>
          <w:tcPr>
            <w:tcW w:type="dxa" w:w="665"/>
          </w:tcPr>
          <w:p>
            <w:r>
              <w:t>174.1 $</w:t>
            </w:r>
          </w:p>
        </w:tc>
        <w:tc>
          <w:tcPr>
            <w:tcW w:type="dxa" w:w="665"/>
          </w:tcPr>
          <w:p>
            <w:r>
              <w:t xml:space="preserve"> </w:t>
            </w:r>
          </w:p>
        </w:tc>
        <w:tc>
          <w:tcPr>
            <w:tcW w:type="dxa" w:w="665"/>
          </w:tcPr>
          <w:p>
            <w:r>
              <w:t>50.6 $</w:t>
            </w:r>
          </w:p>
        </w:tc>
        <w:tc>
          <w:tcPr>
            <w:tcW w:type="dxa" w:w="665"/>
          </w:tcPr>
          <w:p>
            <w:r>
              <w:t>161.3$</w:t>
            </w:r>
          </w:p>
        </w:tc>
        <w:tc>
          <w:tcPr>
            <w:tcW w:type="dxa" w:w="665"/>
          </w:tcPr>
          <w:p>
            <w:r>
              <w:t xml:space="preserve"> </w:t>
            </w:r>
          </w:p>
        </w:tc>
        <w:tc>
          <w:tcPr>
            <w:tcW w:type="dxa" w:w="665"/>
          </w:tcPr>
          <w:p>
            <w:r>
              <w:t>24.1 $</w:t>
            </w:r>
          </w:p>
        </w:tc>
        <w:tc>
          <w:tcPr>
            <w:tcW w:type="dxa" w:w="665"/>
          </w:tcPr>
          <w:p>
            <w:r>
              <w:t xml:space="preserve"> </w:t>
            </w:r>
          </w:p>
        </w:tc>
        <w:tc>
          <w:tcPr>
            <w:tcW w:type="dxa" w:w="665"/>
          </w:tcPr>
          <w:p>
            <w:r>
              <w:t>9.7$</w:t>
            </w:r>
          </w:p>
        </w:tc>
        <w:tc>
          <w:tcPr>
            <w:tcW w:type="dxa" w:w="665"/>
          </w:tcPr>
          <w:p>
            <w:r>
              <w:t>635.1</w:t>
            </w:r>
          </w:p>
        </w:tc>
      </w:tr>
      <w:tr>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Other expenses()</w:t>
            </w:r>
          </w:p>
        </w:tc>
        <w:tc>
          <w:tcPr>
            <w:tcW w:type="dxa" w:w="665"/>
          </w:tcPr>
          <w:p>
            <w:r>
              <w:t xml:space="preserve"> </w:t>
            </w:r>
          </w:p>
        </w:tc>
        <w:tc>
          <w:tcPr>
            <w:tcW w:type="dxa" w:w="665"/>
          </w:tcPr>
          <w:p>
            <w:r>
              <w:t xml:space="preserve"> </w:t>
            </w:r>
          </w:p>
        </w:tc>
        <w:tc>
          <w:tcPr>
            <w:tcW w:type="dxa" w:w="665"/>
          </w:tcPr>
          <w:p>
            <w:r>
              <w:t>(250.6)</w:t>
            </w:r>
          </w:p>
        </w:tc>
      </w:tr>
      <w:tr>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Earnings before taxes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384.5</w:t>
            </w:r>
          </w:p>
        </w:tc>
      </w:tr>
      <w:tr>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Income tax expense</w:t>
            </w:r>
          </w:p>
        </w:tc>
        <w:tc>
          <w:tcPr>
            <w:tcW w:type="dxa" w:w="665"/>
          </w:tcPr>
          <w:p>
            <w:r>
              <w:t xml:space="preserve"> </w:t>
            </w:r>
          </w:p>
        </w:tc>
        <w:tc>
          <w:tcPr>
            <w:tcW w:type="dxa" w:w="665"/>
          </w:tcPr>
          <w:p>
            <w:r>
              <w:t xml:space="preserve"> </w:t>
            </w:r>
          </w:p>
        </w:tc>
        <w:tc>
          <w:tcPr>
            <w:tcW w:type="dxa" w:w="665"/>
          </w:tcPr>
          <w:p>
            <w:r>
              <w:t>(295.7)</w:t>
            </w:r>
          </w:p>
        </w:tc>
      </w:tr>
      <w:tr>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 xml:space="preserve"> </w:t>
            </w:r>
          </w:p>
        </w:tc>
        <w:tc>
          <w:tcPr>
            <w:tcW w:type="dxa" w:w="665"/>
          </w:tcPr>
          <w:p>
            <w:r>
              <w:t>Net earnings $</w:t>
            </w:r>
          </w:p>
        </w:tc>
        <w:tc>
          <w:tcPr>
            <w:tcW w:type="dxa" w:w="665"/>
          </w:tcPr>
          <w:p>
            <w:r>
              <w:t xml:space="preserve"> </w:t>
            </w:r>
          </w:p>
        </w:tc>
        <w:tc>
          <w:tcPr>
            <w:tcW w:type="dxa" w:w="665"/>
          </w:tcPr>
          <w:p>
            <w:r>
              <w:t xml:space="preserve"> </w:t>
            </w:r>
          </w:p>
        </w:tc>
        <w:tc>
          <w:tcPr>
            <w:tcW w:type="dxa" w:w="665"/>
          </w:tcPr>
          <w:p>
            <w:r>
              <w:t>88.8</w:t>
            </w:r>
          </w:p>
        </w:tc>
      </w:tr>
    </w:tbl>
    <w:tbl>
      <w:tblPr>
        <w:tblStyle w:val="TableGrid"/>
        <w:tblW w:type="auto" w:w="0"/>
        <w:tblLook w:firstColumn="1" w:firstRow="1" w:lastColumn="0" w:lastRow="0" w:noHBand="0" w:noVBand="1" w:val="04A0"/>
      </w:tblPr>
      <w:tblGrid>
        <w:gridCol w:w="4320"/>
        <w:gridCol w:w="4320"/>
      </w:tblGrid>
      <w:tr>
        <w:tc>
          <w:tcPr>
            <w:tcW w:type="dxa" w:w="4320"/>
          </w:tcPr>
          <w:p>
            <w:r>
              <w:t>(i</w:t>
            </w:r>
          </w:p>
        </w:tc>
        <w:tc>
          <w:tcPr>
            <w:tcW w:type="dxa" w:w="4320"/>
          </w:tcPr>
          <w:p>
            <w:r>
              <w:t>Depletion, depreciation and amortization ("DDA").</w:t>
            </w:r>
          </w:p>
        </w:tc>
      </w:tr>
      <w:tr>
        <w:tc>
          <w:tcPr>
            <w:tcW w:type="dxa" w:w="4320"/>
          </w:tcPr>
          <w:p>
            <w:r>
              <w:t>(ii)</w:t>
            </w:r>
          </w:p>
        </w:tc>
        <w:tc>
          <w:tcPr>
            <w:tcW w:type="dxa" w:w="4320"/>
          </w:tcPr>
          <w:p>
            <w:r>
              <w:t>Temporary suspension costs relate to the labour action at Minera Florida that started in December 2021 and carried into January 2022, which has now been</w:t>
            </w:r>
          </w:p>
        </w:tc>
      </w:tr>
      <w:tr>
        <w:tc>
          <w:tcPr>
            <w:tcW w:type="dxa" w:w="4320"/>
          </w:tcPr>
          <w:p>
            <w:r>
              <w:t>(ii)</w:t>
            </w:r>
          </w:p>
        </w:tc>
        <w:tc>
          <w:tcPr>
            <w:tcW w:type="dxa" w:w="4320"/>
          </w:tcPr>
          <w:p>
            <w:r>
              <w:t>resolved and the illegal labour action at Cerro Moro in the third quarter of 2022, which was short in duration and has now been resolved. Other expenses are comprised of general and administrative expenses, exploration and evaluation expenses, share of earnings of associates, termination fee payment to Gold Fields, reimbursement of termination fee from Pan American Silver, other operating expenses,net, impairment of non-operating mining</w:t>
            </w:r>
          </w:p>
        </w:tc>
      </w:tr>
      <w:tr>
        <w:tc>
          <w:tcPr>
            <w:tcW w:type="dxa" w:w="4320"/>
          </w:tcPr>
          <w:p>
            <w:r>
              <w:t xml:space="preserve"> </w:t>
            </w:r>
          </w:p>
        </w:tc>
        <w:tc>
          <w:tcPr>
            <w:tcW w:type="dxa" w:w="4320"/>
          </w:tcPr>
          <w:p>
            <w:r>
              <w:t>properties, finance costs and other income, net, as per the consolidated statement of operations. Comparatives with respect to CoviD-19 costs have been reclassified to conform to the change in presentation adopted in the current year. For the year</w:t>
            </w:r>
          </w:p>
        </w:tc>
      </w:tr>
      <w:tr>
        <w:tc>
          <w:tcPr>
            <w:tcW w:type="dxa" w:w="4320"/>
          </w:tcPr>
          <w:p>
            <w:r>
              <w:t>(iv)</w:t>
            </w:r>
          </w:p>
        </w:tc>
        <w:tc>
          <w:tcPr>
            <w:tcW w:type="dxa" w:w="4320"/>
          </w:tcPr>
          <w:p>
            <w:r>
              <w:t>ended December 312021COVID-19 costs of$2.5 million for Canadian Malartic$1.2 million for Jacobina$20.8 million for Cerro Moro$4.9 million for El Penon,and $4.5 million for Minera Florida are now included in Cost of Sales excluding DDA and included in the calculation of Gross Margin excluding DDA Refer to Note 2 for further discussion.</w:t>
            </w:r>
          </w:p>
        </w:tc>
      </w:tr>
    </w:tbl>
    <w:p>
      <w:pPr>
        <w:sectPr>
          <w:pgSz w:w="12240" w:h="15840"/>
          <w:pgMar w:top="1440" w:right="1800" w:bottom="1440" w:left="1800" w:header="720" w:footer="720" w:gutter="0"/>
          <w:cols w:space="720"/>
          <w:docGrid w:linePitch="360"/>
        </w:sectPr>
      </w:pPr>
    </w:p>
    <w:p>
      <w:pPr>
        <w:pStyle w:val="Heading1"/>
      </w:pPr>
      <w:r>
        <w:t>nformation about Geographical Areas</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For the years ended December 31,</w:t>
            </w:r>
          </w:p>
        </w:tc>
        <w:tc>
          <w:tcPr>
            <w:tcW w:type="dxa" w:w="2160"/>
          </w:tcPr>
          <w:p>
            <w:r>
              <w:t xml:space="preserve"> </w:t>
            </w:r>
          </w:p>
        </w:tc>
        <w:tc>
          <w:tcPr>
            <w:tcW w:type="dxa" w:w="2160"/>
          </w:tcPr>
          <w:p>
            <w:r>
              <w:t>2022</w:t>
            </w:r>
          </w:p>
        </w:tc>
        <w:tc>
          <w:tcPr>
            <w:tcW w:type="dxa" w:w="2160"/>
          </w:tcPr>
          <w:p>
            <w:r>
              <w:t>2021 643.2</w:t>
            </w:r>
          </w:p>
        </w:tc>
      </w:tr>
      <w:tr>
        <w:tc>
          <w:tcPr>
            <w:tcW w:type="dxa" w:w="2160"/>
          </w:tcPr>
          <w:p>
            <w:r>
              <w:t>Canada</w:t>
            </w:r>
          </w:p>
        </w:tc>
        <w:tc>
          <w:tcPr>
            <w:tcW w:type="dxa" w:w="2160"/>
          </w:tcPr>
          <w:p>
            <w:r>
              <w:t>$</w:t>
            </w:r>
          </w:p>
        </w:tc>
        <w:tc>
          <w:tcPr>
            <w:tcW w:type="dxa" w:w="2160"/>
          </w:tcPr>
          <w:p>
            <w:r>
              <w:t>598.3 $</w:t>
            </w:r>
          </w:p>
        </w:tc>
        <w:tc>
          <w:tcPr>
            <w:tcW w:type="dxa" w:w="2160"/>
          </w:tcPr>
          <w:p>
            <w:r>
              <w:t xml:space="preserve"> </w:t>
            </w:r>
          </w:p>
        </w:tc>
      </w:tr>
      <w:tr>
        <w:tc>
          <w:tcPr>
            <w:tcW w:type="dxa" w:w="2160"/>
          </w:tcPr>
          <w:p>
            <w:r>
              <w:t>Chile</w:t>
            </w:r>
          </w:p>
        </w:tc>
        <w:tc>
          <w:tcPr>
            <w:tcW w:type="dxa" w:w="2160"/>
          </w:tcPr>
          <w:p>
            <w:r>
              <w:t xml:space="preserve"> </w:t>
            </w:r>
          </w:p>
        </w:tc>
        <w:tc>
          <w:tcPr>
            <w:tcW w:type="dxa" w:w="2160"/>
          </w:tcPr>
          <w:p>
            <w:r>
              <w:t>533.7</w:t>
            </w:r>
          </w:p>
        </w:tc>
        <w:tc>
          <w:tcPr>
            <w:tcW w:type="dxa" w:w="2160"/>
          </w:tcPr>
          <w:p>
            <w:r>
              <w:t>559.5</w:t>
            </w:r>
          </w:p>
        </w:tc>
      </w:tr>
      <w:tr>
        <w:tc>
          <w:tcPr>
            <w:tcW w:type="dxa" w:w="2160"/>
          </w:tcPr>
          <w:p>
            <w:r>
              <w:t>Brazil</w:t>
            </w:r>
          </w:p>
        </w:tc>
        <w:tc>
          <w:tcPr>
            <w:tcW w:type="dxa" w:w="2160"/>
          </w:tcPr>
          <w:p>
            <w:r>
              <w:t xml:space="preserve"> </w:t>
            </w:r>
          </w:p>
        </w:tc>
        <w:tc>
          <w:tcPr>
            <w:tcW w:type="dxa" w:w="2160"/>
          </w:tcPr>
          <w:p>
            <w:r>
              <w:t>353.1</w:t>
            </w:r>
          </w:p>
        </w:tc>
        <w:tc>
          <w:tcPr>
            <w:tcW w:type="dxa" w:w="2160"/>
          </w:tcPr>
          <w:p>
            <w:r>
              <w:t>336.2</w:t>
            </w:r>
          </w:p>
        </w:tc>
      </w:tr>
      <w:tr>
        <w:tc>
          <w:tcPr>
            <w:tcW w:type="dxa" w:w="2160"/>
          </w:tcPr>
          <w:p>
            <w:r>
              <w:t>Argentina</w:t>
            </w:r>
          </w:p>
        </w:tc>
        <w:tc>
          <w:tcPr>
            <w:tcW w:type="dxa" w:w="2160"/>
          </w:tcPr>
          <w:p>
            <w:r>
              <w:t xml:space="preserve"> </w:t>
            </w:r>
          </w:p>
        </w:tc>
        <w:tc>
          <w:tcPr>
            <w:tcW w:type="dxa" w:w="2160"/>
          </w:tcPr>
          <w:p>
            <w:r>
              <w:t>322.0</w:t>
            </w:r>
          </w:p>
        </w:tc>
        <w:tc>
          <w:tcPr>
            <w:tcW w:type="dxa" w:w="2160"/>
          </w:tcPr>
          <w:p>
            <w:r>
              <w:t>276.5</w:t>
            </w:r>
          </w:p>
        </w:tc>
      </w:tr>
      <w:tr>
        <w:tc>
          <w:tcPr>
            <w:tcW w:type="dxa" w:w="2160"/>
          </w:tcPr>
          <w:p>
            <w:r>
              <w:t>Total revenue</w:t>
            </w:r>
          </w:p>
        </w:tc>
        <w:tc>
          <w:tcPr>
            <w:tcW w:type="dxa" w:w="2160"/>
          </w:tcPr>
          <w:p>
            <w:r>
              <w:t>$</w:t>
            </w:r>
          </w:p>
        </w:tc>
        <w:tc>
          <w:tcPr>
            <w:tcW w:type="dxa" w:w="2160"/>
          </w:tcPr>
          <w:p>
            <w:r>
              <w:t>1,807.1 $</w:t>
            </w:r>
          </w:p>
        </w:tc>
        <w:tc>
          <w:tcPr>
            <w:tcW w:type="dxa" w:w="2160"/>
          </w:tcPr>
          <w:p>
            <w:r>
              <w:t>1,815.4</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on-current assets tor this purpose exclude deterred tax a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As at December 31,</w:t>
            </w:r>
          </w:p>
        </w:tc>
        <w:tc>
          <w:tcPr>
            <w:tcW w:type="dxa" w:w="2160"/>
          </w:tcPr>
          <w:p>
            <w:r>
              <w:t xml:space="preserve"> </w:t>
            </w:r>
          </w:p>
        </w:tc>
        <w:tc>
          <w:tcPr>
            <w:tcW w:type="dxa" w:w="2160"/>
          </w:tcPr>
          <w:p>
            <w:r>
              <w:t>2022</w:t>
            </w:r>
          </w:p>
        </w:tc>
        <w:tc>
          <w:tcPr>
            <w:tcW w:type="dxa" w:w="2160"/>
          </w:tcPr>
          <w:p>
            <w:r>
              <w:t>2021</w:t>
            </w:r>
          </w:p>
        </w:tc>
      </w:tr>
      <w:tr>
        <w:tc>
          <w:tcPr>
            <w:tcW w:type="dxa" w:w="2160"/>
          </w:tcPr>
          <w:p>
            <w:r>
              <w:t>Canada</w:t>
            </w:r>
          </w:p>
        </w:tc>
        <w:tc>
          <w:tcPr>
            <w:tcW w:type="dxa" w:w="2160"/>
          </w:tcPr>
          <w:p>
            <w:r>
              <w:t>$</w:t>
            </w:r>
          </w:p>
        </w:tc>
        <w:tc>
          <w:tcPr>
            <w:tcW w:type="dxa" w:w="2160"/>
          </w:tcPr>
          <w:p>
            <w:r>
              <w:t>1,869.5$</w:t>
            </w:r>
          </w:p>
        </w:tc>
        <w:tc>
          <w:tcPr>
            <w:tcW w:type="dxa" w:w="2160"/>
          </w:tcPr>
          <w:p>
            <w:r>
              <w:t>1,854.8</w:t>
            </w:r>
          </w:p>
        </w:tc>
      </w:tr>
      <w:tr>
        <w:tc>
          <w:tcPr>
            <w:tcW w:type="dxa" w:w="2160"/>
          </w:tcPr>
          <w:p>
            <w:r>
              <w:t>Chile</w:t>
            </w:r>
          </w:p>
        </w:tc>
        <w:tc>
          <w:tcPr>
            <w:tcW w:type="dxa" w:w="2160"/>
          </w:tcPr>
          <w:p>
            <w:r>
              <w:t xml:space="preserve"> </w:t>
            </w:r>
          </w:p>
        </w:tc>
        <w:tc>
          <w:tcPr>
            <w:tcW w:type="dxa" w:w="2160"/>
          </w:tcPr>
          <w:p>
            <w:r>
              <w:t>1,566.0</w:t>
            </w:r>
          </w:p>
        </w:tc>
        <w:tc>
          <w:tcPr>
            <w:tcW w:type="dxa" w:w="2160"/>
          </w:tcPr>
          <w:p>
            <w:r>
              <w:t>1,864.2</w:t>
            </w:r>
          </w:p>
        </w:tc>
      </w:tr>
      <w:tr>
        <w:tc>
          <w:tcPr>
            <w:tcW w:type="dxa" w:w="2160"/>
          </w:tcPr>
          <w:p>
            <w:r>
              <w:t>Brazil</w:t>
            </w:r>
          </w:p>
        </w:tc>
        <w:tc>
          <w:tcPr>
            <w:tcW w:type="dxa" w:w="2160"/>
          </w:tcPr>
          <w:p>
            <w:r>
              <w:t xml:space="preserve"> </w:t>
            </w:r>
          </w:p>
        </w:tc>
        <w:tc>
          <w:tcPr>
            <w:tcW w:type="dxa" w:w="2160"/>
          </w:tcPr>
          <w:p>
            <w:r>
              <w:t>979.4</w:t>
            </w:r>
          </w:p>
        </w:tc>
        <w:tc>
          <w:tcPr>
            <w:tcW w:type="dxa" w:w="2160"/>
          </w:tcPr>
          <w:p>
            <w:r>
              <w:t>957.6</w:t>
            </w:r>
          </w:p>
        </w:tc>
      </w:tr>
      <w:tr>
        <w:tc>
          <w:tcPr>
            <w:tcW w:type="dxa" w:w="2160"/>
          </w:tcPr>
          <w:p>
            <w:r>
              <w:t>Argentina</w:t>
            </w:r>
          </w:p>
        </w:tc>
        <w:tc>
          <w:tcPr>
            <w:tcW w:type="dxa" w:w="2160"/>
          </w:tcPr>
          <w:p>
            <w:r>
              <w:t xml:space="preserve"> </w:t>
            </w:r>
          </w:p>
        </w:tc>
        <w:tc>
          <w:tcPr>
            <w:tcW w:type="dxa" w:w="2160"/>
          </w:tcPr>
          <w:p>
            <w:r>
              <w:t>1,210.5</w:t>
            </w:r>
          </w:p>
        </w:tc>
        <w:tc>
          <w:tcPr>
            <w:tcW w:type="dxa" w:w="2160"/>
          </w:tcPr>
          <w:p>
            <w:r>
              <w:t>2,740.8</w:t>
            </w:r>
          </w:p>
        </w:tc>
      </w:tr>
      <w:tr>
        <w:tc>
          <w:tcPr>
            <w:tcW w:type="dxa" w:w="2160"/>
          </w:tcPr>
          <w:p>
            <w:r>
              <w:t>United States</w:t>
            </w:r>
          </w:p>
        </w:tc>
        <w:tc>
          <w:tcPr>
            <w:tcW w:type="dxa" w:w="2160"/>
          </w:tcPr>
          <w:p>
            <w:r>
              <w:t xml:space="preserve"> </w:t>
            </w:r>
          </w:p>
        </w:tc>
        <w:tc>
          <w:tcPr>
            <w:tcW w:type="dxa" w:w="2160"/>
          </w:tcPr>
          <w:p>
            <w:r>
              <w:t>4.9</w:t>
            </w:r>
          </w:p>
        </w:tc>
        <w:tc>
          <w:tcPr>
            <w:tcW w:type="dxa" w:w="2160"/>
          </w:tcPr>
          <w:p>
            <w:r>
              <w:t>33.6</w:t>
            </w:r>
          </w:p>
        </w:tc>
      </w:tr>
      <w:tr>
        <w:tc>
          <w:tcPr>
            <w:tcW w:type="dxa" w:w="2160"/>
          </w:tcPr>
          <w:p>
            <w:r>
              <w:t>Total non-current assets</w:t>
            </w:r>
          </w:p>
        </w:tc>
        <w:tc>
          <w:tcPr>
            <w:tcW w:type="dxa" w:w="2160"/>
          </w:tcPr>
          <w:p>
            <w:r>
              <w:t>$</w:t>
            </w:r>
          </w:p>
        </w:tc>
        <w:tc>
          <w:tcPr>
            <w:tcW w:type="dxa" w:w="2160"/>
          </w:tcPr>
          <w:p>
            <w:r>
              <w:t>5,630.3$</w:t>
            </w:r>
          </w:p>
        </w:tc>
        <w:tc>
          <w:tcPr>
            <w:tcW w:type="dxa" w:w="2160"/>
          </w:tcPr>
          <w:p>
            <w:r>
              <w:t>7,451.0</w:t>
            </w:r>
          </w:p>
        </w:tc>
      </w:tr>
    </w:tbl>
    <w:sectPr w:rsidR="00FC693F" w:rsidRPr="0006063C" w:rsidSect="00034616">
      <w:type w:val="continuous"/>
      <w:pgSz w:w="12240" w:h="15840"/>
      <w:pgMar w:top="1440" w:right="1800" w:bottom="1440" w:left="180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