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All of the Company's financial liabilities except lease liabilities are current liabilities with expected settlem </w:t>
      </w:r>
      <w:r>
        <w:rPr>
          <w:sz w:val="20"/>
        </w:rPr>
        <w:t xml:space="preserve">dates within one year. The maturity analysis for lease liabilities is disclosed in note 14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cForeign exchange risk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Company is exposed to foreign exchange risk due to its investments in foreign operations whose functional </w:t>
      </w:r>
      <w:r>
        <w:rPr>
          <w:sz w:val="20"/>
        </w:rPr>
        <w:t xml:space="preserve">currency is the Euro.As of December 31,2022,if the US dollar had increased or decreased by 10% against the </w:t>
      </w:r>
      <w:r>
        <w:rPr>
          <w:sz w:val="20"/>
        </w:rPr>
        <w:t xml:space="preserve">Euro, with all other variables held constant, net loss for the year ended December 31,2022 would have been </w:t>
      </w:r>
      <w:r>
        <w:rPr>
          <w:sz w:val="20"/>
        </w:rPr>
        <w:t xml:space="preserve">lower 0r higher by approximately $8232021-$300 and 2020-$110.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25.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ent being the bionharmaceutical segment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Geographical information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6480"/>
            <w:gridSpan w:val="3"/>
          </w:tcPr>
          <w:p>
            <w:r>
              <w:t>Years ended December 31,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$</w:t>
            </w:r>
          </w:p>
        </w:tc>
      </w:tr>
      <w:tr>
        <w:tc>
          <w:tcPr>
            <w:tcW w:type="dxa" w:w="2160"/>
          </w:tcPr>
          <w:p>
            <w:r>
              <w:t>Switzerland</w:t>
            </w:r>
          </w:p>
        </w:tc>
        <w:tc>
          <w:tcPr>
            <w:tcW w:type="dxa" w:w="2160"/>
          </w:tcPr>
          <w:p>
            <w:r>
              <w:t>5,395</w:t>
            </w:r>
          </w:p>
        </w:tc>
        <w:tc>
          <w:tcPr>
            <w:tcW w:type="dxa" w:w="2160"/>
          </w:tcPr>
          <w:p>
            <w:r>
              <w:t>5,075</w:t>
            </w:r>
          </w:p>
        </w:tc>
        <w:tc>
          <w:tcPr>
            <w:tcW w:type="dxa" w:w="2160"/>
          </w:tcPr>
          <w:p>
            <w:r>
              <w:t>905</w:t>
            </w:r>
          </w:p>
        </w:tc>
      </w:tr>
      <w:tr>
        <w:tc>
          <w:tcPr>
            <w:tcW w:type="dxa" w:w="2160"/>
          </w:tcPr>
          <w:p>
            <w:r>
              <w:t>Ireland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73</w:t>
            </w:r>
          </w:p>
        </w:tc>
      </w:tr>
      <w:tr>
        <w:tc>
          <w:tcPr>
            <w:tcW w:type="dxa" w:w="2160"/>
          </w:tcPr>
          <w:p>
            <w:r>
              <w:t>Denmark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185</w:t>
            </w:r>
          </w:p>
        </w:tc>
        <w:tc>
          <w:tcPr>
            <w:tcW w:type="dxa" w:w="2160"/>
          </w:tcPr>
          <w:p>
            <w:r>
              <w:t>2,655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5,640</w:t>
            </w:r>
          </w:p>
        </w:tc>
        <w:tc>
          <w:tcPr>
            <w:tcW w:type="dxa" w:w="2160"/>
          </w:tcPr>
          <w:p>
            <w:r>
              <w:t>5,260</w:t>
            </w:r>
          </w:p>
        </w:tc>
        <w:tc>
          <w:tcPr>
            <w:tcW w:type="dxa" w:w="2160"/>
          </w:tcPr>
          <w:p>
            <w:r>
              <w:t>3,652</w:t>
            </w:r>
          </w:p>
        </w:tc>
      </w:tr>
    </w:tbl>
    <w:p>
      <w:pPr>
        <w:ind w:firstLine="360"/>
      </w:pPr>
      <w:r>
        <w:rPr>
          <w:sz w:val="20"/>
        </w:rPr>
        <w:t xml:space="preserve">Non-current assets include restricted cash equivalents, right of use assets, property and equipment, identifial </w:t>
      </w:r>
      <w:r>
        <w:rPr>
          <w:sz w:val="20"/>
        </w:rPr>
        <w:t xml:space="preserve">ntangible assets, other asset and goodwill (2021 only) and are detailed by geographical area as follows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December 31, 2021</w:t>
            </w:r>
          </w:p>
        </w:tc>
      </w:tr>
      <w:tr>
        <w:tc>
          <w:tcPr>
            <w:tcW w:type="dxa" w:w="8640"/>
          </w:tcPr>
          <w:p>
            <w:r>
              <w:t>2022 $</w:t>
            </w:r>
          </w:p>
        </w:tc>
      </w:tr>
      <w:tr>
        <w:tc>
          <w:tcPr>
            <w:tcW w:type="dxa" w:w="8640"/>
          </w:tcPr>
          <w:p>
            <w:r>
              <w:t xml:space="preserve"> </w:t>
            </w:r>
          </w:p>
        </w:tc>
      </w:tr>
      <w:tr>
        <w:tc>
          <w:tcPr>
            <w:tcW w:type="dxa" w:w="8640"/>
          </w:tcPr>
          <w:p>
            <w:r>
              <w:t>$ 463 9,212</w:t>
            </w:r>
          </w:p>
        </w:tc>
      </w:tr>
      <w:tr>
        <w:tc>
          <w:tcPr>
            <w:tcW w:type="dxa" w:w="8640"/>
          </w:tcPr>
          <w:p>
            <w:r>
              <w:t>4</w:t>
            </w:r>
          </w:p>
        </w:tc>
      </w:tr>
      <w:tr>
        <w:tc>
          <w:tcPr>
            <w:tcW w:type="dxa" w:w="8640"/>
          </w:tcPr>
          <w:p>
            <w:r>
              <w:t>71 70 538 9,282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