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23. SEGMENTED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Company reviews its seqment reporting to ensure it reflects the operational structure of the Company </w:t>
      </w:r>
      <w:r>
        <w:rPr>
          <w:sz w:val="20"/>
        </w:rPr>
        <w:t xml:space="preserve">and enables the Company's Chief Operating Decision Maker (the Company's CEO) to review operating </w:t>
      </w:r>
      <w:r>
        <w:rPr>
          <w:sz w:val="20"/>
        </w:rPr>
        <w:t xml:space="preserve">segment performance.We have determined that each producing mine represents an operating segment, of </w:t>
      </w:r>
      <w:r>
        <w:rPr>
          <w:sz w:val="20"/>
        </w:rPr>
        <w:t xml:space="preserve">which there is one as of December 31,2022 </w:t>
      </w:r>
    </w:p>
    <w:p>
      <w:pPr>
        <w:ind w:firstLine="360"/>
      </w:pPr>
      <w:r>
        <w:rPr>
          <w:sz w:val="20"/>
        </w:rPr>
        <w:t xml:space="preserve">e Company's revenues for the year ended December 31,2022,of $44,187 (2021-$11,228) are </w:t>
      </w:r>
      <w:r>
        <w:rPr>
          <w:sz w:val="20"/>
        </w:rPr>
        <w:t xml:space="preserve">ributable to one reportable segment in Mexico, from shipments of concentrate produced by the Avino M </w:t>
      </w:r>
      <w:r>
        <w:rPr>
          <w:sz w:val="20"/>
        </w:rPr>
        <w:t xml:space="preserve">d processed material from the Avino Historic Above Ground stockpiles </w:t>
      </w:r>
    </w:p>
    <w:p>
      <w:pPr>
        <w:ind w:firstLine="360"/>
      </w:pPr>
      <w:r>
        <w:rPr>
          <w:sz w:val="20"/>
        </w:rPr>
        <w:t xml:space="preserve">On the consolidated statements of operations, the Company had revenue from the following product mixes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Silver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16,570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3,421</w:t>
            </w:r>
          </w:p>
        </w:tc>
      </w:tr>
      <w:tr>
        <w:tc>
          <w:tcPr>
            <w:tcW w:type="dxa" w:w="1728"/>
          </w:tcPr>
          <w:p>
            <w:r>
              <w:t>Copper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10,258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5,566</w:t>
            </w:r>
          </w:p>
        </w:tc>
      </w:tr>
      <w:tr>
        <w:tc>
          <w:tcPr>
            <w:tcW w:type="dxa" w:w="1728"/>
          </w:tcPr>
          <w:p>
            <w:r>
              <w:t>Sold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25,875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4,344</w:t>
            </w:r>
          </w:p>
        </w:tc>
      </w:tr>
      <w:tr>
        <w:tc>
          <w:tcPr>
            <w:tcW w:type="dxa" w:w="1728"/>
          </w:tcPr>
          <w:p>
            <w:r>
              <w:t>enalties, treatment costs and refining charges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8,516)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2,103</w:t>
            </w:r>
          </w:p>
        </w:tc>
      </w:tr>
      <w:tr>
        <w:tc>
          <w:tcPr>
            <w:tcW w:type="dxa" w:w="1728"/>
          </w:tcPr>
          <w:p>
            <w:r>
              <w:t>otal revenue from mining operations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44,187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11,228</w:t>
            </w:r>
          </w:p>
        </w:tc>
      </w:tr>
    </w:tbl>
    <w:p>
      <w:pPr>
        <w:ind w:firstLine="360"/>
      </w:pPr>
      <w:r>
        <w:rPr>
          <w:sz w:val="20"/>
        </w:rPr>
        <w:t xml:space="preserve">r the year ended December 31,2022 and 2021, the Company had the following customers that accour </w:t>
      </w:r>
      <w:r>
        <w:rPr>
          <w:sz w:val="20"/>
        </w:rPr>
        <w:t xml:space="preserve">total revenues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3456"/>
            <w:gridSpan w:val="2"/>
          </w:tcPr>
          <w:p>
            <w:r>
              <w:t>2022</w:t>
            </w:r>
          </w:p>
        </w:tc>
        <w:tc>
          <w:tcPr>
            <w:tcW w:type="dxa" w:w="3456"/>
            <w:gridSpan w:val="2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Customer #1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39,911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5,521</w:t>
            </w:r>
          </w:p>
        </w:tc>
      </w:tr>
      <w:tr>
        <w:tc>
          <w:tcPr>
            <w:tcW w:type="dxa" w:w="1728"/>
          </w:tcPr>
          <w:p>
            <w:r>
              <w:t>Customer #2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3,479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3,045</w:t>
            </w:r>
          </w:p>
        </w:tc>
      </w:tr>
      <w:tr>
        <w:tc>
          <w:tcPr>
            <w:tcW w:type="dxa" w:w="1728"/>
          </w:tcPr>
          <w:p>
            <w:r>
              <w:t>Other customers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797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2,662</w:t>
            </w:r>
          </w:p>
        </w:tc>
      </w:tr>
      <w:tr>
        <w:tc>
          <w:tcPr>
            <w:tcW w:type="dxa" w:w="1728"/>
          </w:tcPr>
          <w:p>
            <w:r>
              <w:t>otal revenue from mining operations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44,187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11,228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3456"/>
            <w:gridSpan w:val="2"/>
          </w:tcPr>
          <w:p>
            <w:r>
              <w:t>December 31,</w:t>
            </w:r>
          </w:p>
        </w:tc>
        <w:tc>
          <w:tcPr>
            <w:tcW w:type="dxa" w:w="3456"/>
            <w:gridSpan w:val="2"/>
          </w:tcPr>
          <w:p>
            <w:r>
              <w:t>December 31,</w:t>
            </w:r>
          </w:p>
        </w:tc>
      </w:tr>
      <w:tr>
        <w:tc>
          <w:tcPr>
            <w:tcW w:type="dxa" w:w="1728"/>
          </w:tcPr>
          <w:p>
            <w:r>
              <w:t>xploration and evaluation assets- Mexico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2022 46,541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2021 11,052</w:t>
            </w:r>
          </w:p>
        </w:tc>
      </w:tr>
      <w:tr>
        <w:tc>
          <w:tcPr>
            <w:tcW w:type="dxa" w:w="1728"/>
          </w:tcPr>
          <w:p>
            <w:r>
              <w:t>xploration and evaluation assets - Canada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otal exploration and evaluation assets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46,542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11,053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December 31,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December 31,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</w:tr>
      <w:tr>
        <w:tc>
          <w:tcPr>
            <w:tcW w:type="dxa" w:w="1728"/>
          </w:tcPr>
          <w:p>
            <w:r>
              <w:t>lant, equipment, and mining properties- Mexico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43,812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35,390</w:t>
            </w:r>
          </w:p>
        </w:tc>
      </w:tr>
      <w:tr>
        <w:tc>
          <w:tcPr>
            <w:tcW w:type="dxa" w:w="1728"/>
          </w:tcPr>
          <w:p>
            <w:r>
              <w:t>lant, equipment, and mining properties - Canada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285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