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[he following table provides ge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5760"/>
            <w:gridSpan w:val="2"/>
          </w:tcPr>
          <w:p>
            <w:r>
              <w:t>Year Ended December 31</w:t>
            </w:r>
          </w:p>
        </w:tc>
      </w:tr>
      <w:tr>
        <w:tc>
          <w:tcPr>
            <w:tcW w:type="dxa" w:w="2880"/>
          </w:tcPr>
          <w:p>
            <w:r>
              <w:t>As at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Colombia</w:t>
            </w:r>
          </w:p>
        </w:tc>
        <w:tc>
          <w:tcPr>
            <w:tcW w:type="dxa" w:w="2880"/>
          </w:tcPr>
          <w:p>
            <w:r>
              <w:t>$ 1,902,712$</w:t>
            </w:r>
          </w:p>
        </w:tc>
        <w:tc>
          <w:tcPr>
            <w:tcW w:type="dxa" w:w="2880"/>
          </w:tcPr>
          <w:p>
            <w:r>
              <w:t>1,896,374</w:t>
            </w:r>
          </w:p>
        </w:tc>
      </w:tr>
      <w:tr>
        <w:tc>
          <w:tcPr>
            <w:tcW w:type="dxa" w:w="2880"/>
          </w:tcPr>
          <w:p>
            <w:r>
              <w:t>Guyana</w:t>
            </w:r>
          </w:p>
        </w:tc>
        <w:tc>
          <w:tcPr>
            <w:tcW w:type="dxa" w:w="2880"/>
          </w:tcPr>
          <w:p>
            <w:r>
              <w:t>291,939</w:t>
            </w:r>
          </w:p>
        </w:tc>
        <w:tc>
          <w:tcPr>
            <w:tcW w:type="dxa" w:w="2880"/>
          </w:tcPr>
          <w:p>
            <w:r>
              <w:t>188,566</w:t>
            </w:r>
          </w:p>
        </w:tc>
      </w:tr>
      <w:tr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880"/>
          </w:tcPr>
          <w:p>
            <w:r>
              <w:t>33,786</w:t>
            </w:r>
          </w:p>
        </w:tc>
        <w:tc>
          <w:tcPr>
            <w:tcW w:type="dxa" w:w="2880"/>
          </w:tcPr>
          <w:p>
            <w:r>
              <w:t>8,689</w:t>
            </w:r>
          </w:p>
        </w:tc>
      </w:tr>
      <w:tr>
        <w:tc>
          <w:tcPr>
            <w:tcW w:type="dxa" w:w="2880"/>
          </w:tcPr>
          <w:p>
            <w:r>
              <w:t>Canada &amp;Others</w:t>
            </w:r>
          </w:p>
        </w:tc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291</w:t>
            </w:r>
          </w:p>
        </w:tc>
      </w:tr>
      <w:tr>
        <w:tc>
          <w:tcPr>
            <w:tcW w:type="dxa" w:w="2880"/>
          </w:tcPr>
          <w:p>
            <w:r>
              <w:t>Total non-current assets</w:t>
            </w:r>
          </w:p>
        </w:tc>
        <w:tc>
          <w:tcPr>
            <w:tcW w:type="dxa" w:w="2880"/>
          </w:tcPr>
          <w:p>
            <w:r>
              <w:t>$ 2,229,005$</w:t>
            </w:r>
          </w:p>
        </w:tc>
        <w:tc>
          <w:tcPr>
            <w:tcW w:type="dxa" w:w="2880"/>
          </w:tcPr>
          <w:p>
            <w:r>
              <w:t>2,093,920</w:t>
            </w:r>
          </w:p>
        </w:tc>
      </w:tr>
    </w:tbl>
    <w:p>
      <w:pPr>
        <w:ind w:firstLine="360"/>
      </w:pPr>
      <w:r>
        <w:rPr>
          <w:sz w:val="20"/>
        </w:rPr>
        <w:t xml:space="preserve">he Company's oil and qas sales and other revenue based on the qeographic location of the port of delivery.is as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Panama (Petroterminal de Panama)</w:t>
            </w:r>
          </w:p>
        </w:tc>
        <w:tc>
          <w:tcPr>
            <w:tcW w:type="dxa" w:w="2880"/>
          </w:tcPr>
          <w:p>
            <w:r>
              <w:t>2022 679,756$</w:t>
            </w:r>
          </w:p>
        </w:tc>
        <w:tc>
          <w:tcPr>
            <w:tcW w:type="dxa" w:w="2880"/>
          </w:tcPr>
          <w:p>
            <w:r>
              <w:t>20211 364,064</w:t>
            </w:r>
          </w:p>
        </w:tc>
      </w:tr>
      <w:tr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880"/>
          </w:tcPr>
          <w:p>
            <w:r>
              <w:t>$ 509,667</w:t>
            </w:r>
          </w:p>
        </w:tc>
        <w:tc>
          <w:tcPr>
            <w:tcW w:type="dxa" w:w="2880"/>
          </w:tcPr>
          <w:p>
            <w:r>
              <w:t>232,306</w:t>
            </w:r>
          </w:p>
        </w:tc>
      </w:tr>
      <w:tr>
        <w:tc>
          <w:tcPr>
            <w:tcW w:type="dxa" w:w="2880"/>
          </w:tcPr>
          <w:p>
            <w:r>
              <w:t>Colombia</w:t>
            </w:r>
          </w:p>
        </w:tc>
        <w:tc>
          <w:tcPr>
            <w:tcW w:type="dxa" w:w="2880"/>
          </w:tcPr>
          <w:p>
            <w:r>
              <w:t>171,580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4,464</w:t>
            </w:r>
          </w:p>
        </w:tc>
        <w:tc>
          <w:tcPr>
            <w:tcW w:type="dxa" w:w="2880"/>
          </w:tcPr>
          <w:p>
            <w:r>
              <w:t>103,632</w:t>
            </w:r>
          </w:p>
        </w:tc>
      </w:tr>
      <w:tr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6,310</w:t>
            </w:r>
          </w:p>
        </w:tc>
      </w:tr>
      <w:tr>
        <w:tc>
          <w:tcPr>
            <w:tcW w:type="dxa" w:w="2880"/>
          </w:tcPr>
          <w:p>
            <w:r>
              <w:t>St. Lucia Peru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197,939 22,382</w:t>
            </w:r>
          </w:p>
        </w:tc>
      </w:tr>
      <w:tr>
        <w:tc>
          <w:tcPr>
            <w:tcW w:type="dxa" w:w="2880"/>
          </w:tcPr>
          <w:p>
            <w:r>
              <w:t>Total oil and gas sales and other revenue</w:t>
            </w:r>
          </w:p>
        </w:tc>
        <w:tc>
          <w:tcPr>
            <w:tcW w:type="dxa" w:w="2880"/>
          </w:tcPr>
          <w:p>
            <w:r>
              <w:t>$ 1,365,467$</w:t>
            </w:r>
          </w:p>
        </w:tc>
        <w:tc>
          <w:tcPr>
            <w:tcW w:type="dxa" w:w="2880"/>
          </w:tcPr>
          <w:p>
            <w:r>
              <w:t>926,633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raphic port of delivery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For the year ended December 31,2022.the Company had three customers (2021:four customers) that individually accountec </w:t>
      </w:r>
      <w:r>
        <w:rPr>
          <w:sz w:val="20"/>
        </w:rPr>
        <w:t xml:space="preserve">for more than 10%of revenue.Sales to these customers were $588.4 million,$240.8 million, and$160.7 million 2021:$261.4 </w:t>
      </w:r>
      <w:r>
        <w:rPr>
          <w:sz w:val="20"/>
        </w:rPr>
        <w:t xml:space="preserve">million,$197.6 million,$134.9 million,and $94.8 million),which are included in the Colombia segment. </w:t>
      </w:r>
    </w:p>
    <w:p>
      <w:pPr>
        <w:ind w:firstLine="360"/>
      </w:pPr>
      <w:r>
        <w:rPr>
          <w:sz w:val="20"/>
        </w:rPr>
        <w:t xml:space="preserve">The following table provides the disaggregation of the Company's revenue </w:t>
      </w:r>
      <w:r>
        <w:rPr>
          <w:sz w:val="20"/>
        </w:rPr>
        <w:t xml:space="preserve">from contracts with </w:t>
      </w:r>
      <w:r>
        <w:rPr>
          <w:sz w:val="20"/>
        </w:rPr>
        <w:t xml:space="preserve">customers, </w:t>
      </w:r>
      <w:r>
        <w:rPr>
          <w:sz w:val="20"/>
        </w:rPr>
        <w:t xml:space="preserve">includinga </w:t>
      </w:r>
      <w:r>
        <w:rPr>
          <w:sz w:val="20"/>
        </w:rPr>
        <w:t xml:space="preserve">D </w:t>
      </w:r>
      <w:r>
        <w:rPr>
          <w:sz w:val="20"/>
        </w:rPr>
        <w:t xml:space="preserve">reconciliation with the amounts disclosed in the segmented information (Note 5):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5760"/>
            <w:gridSpan w:val="2"/>
          </w:tcPr>
          <w:p>
            <w:r>
              <w:t>Year Ended December 31</w:t>
            </w:r>
          </w:p>
        </w:tc>
      </w:tr>
      <w:tr>
        <w:tc>
          <w:tcPr>
            <w:tcW w:type="dxa" w:w="2880"/>
          </w:tcPr>
          <w:p>
            <w:r>
              <w:t>Colombia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Crude oil sales</w:t>
            </w:r>
          </w:p>
        </w:tc>
        <w:tc>
          <w:tcPr>
            <w:tcW w:type="dxa" w:w="2880"/>
          </w:tcPr>
          <w:p>
            <w:r>
              <w:t>$ 1,298,638$</w:t>
            </w:r>
          </w:p>
        </w:tc>
        <w:tc>
          <w:tcPr>
            <w:tcW w:type="dxa" w:w="2880"/>
          </w:tcPr>
          <w:p>
            <w:r>
              <w:t>862,526</w:t>
            </w:r>
          </w:p>
        </w:tc>
      </w:tr>
      <w:tr>
        <w:tc>
          <w:tcPr>
            <w:tcW w:type="dxa" w:w="2880"/>
          </w:tcPr>
          <w:p>
            <w:r>
              <w:t>Gas sales</w:t>
            </w:r>
          </w:p>
        </w:tc>
        <w:tc>
          <w:tcPr>
            <w:tcW w:type="dxa" w:w="2880"/>
          </w:tcPr>
          <w:p>
            <w:r>
              <w:t>16,536</w:t>
            </w:r>
          </w:p>
        </w:tc>
        <w:tc>
          <w:tcPr>
            <w:tcW w:type="dxa" w:w="2880"/>
          </w:tcPr>
          <w:p>
            <w:r>
              <w:t>7,300</w:t>
            </w:r>
          </w:p>
        </w:tc>
      </w:tr>
      <w:tr>
        <w:tc>
          <w:tcPr>
            <w:tcW w:type="dxa" w:w="2880"/>
          </w:tcPr>
          <w:p>
            <w:r>
              <w:t>Colombia oil and gas sales</w:t>
            </w:r>
          </w:p>
        </w:tc>
        <w:tc>
          <w:tcPr>
            <w:tcW w:type="dxa" w:w="2880"/>
          </w:tcPr>
          <w:p>
            <w:r>
              <w:t>1,315,174</w:t>
            </w:r>
          </w:p>
        </w:tc>
        <w:tc>
          <w:tcPr>
            <w:tcW w:type="dxa" w:w="2880"/>
          </w:tcPr>
          <w:p>
            <w:r>
              <w:t>869,826</w:t>
            </w:r>
          </w:p>
        </w:tc>
      </w:tr>
      <w:tr>
        <w:tc>
          <w:tcPr>
            <w:tcW w:type="dxa" w:w="2880"/>
          </w:tcPr>
          <w:p>
            <w:r>
              <w:t>Ecuador crude oil sales (1)</w:t>
            </w:r>
          </w:p>
        </w:tc>
        <w:tc>
          <w:tcPr>
            <w:tcW w:type="dxa" w:w="2880"/>
          </w:tcPr>
          <w:p>
            <w:r>
              <w:t>10,671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Peru crude oil sales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28,692</w:t>
            </w:r>
          </w:p>
        </w:tc>
      </w:tr>
      <w:tr>
        <w:tc>
          <w:tcPr>
            <w:tcW w:type="dxa" w:w="2880"/>
          </w:tcPr>
          <w:p>
            <w:r>
              <w:t>Oil and gas sales</w:t>
            </w:r>
          </w:p>
        </w:tc>
        <w:tc>
          <w:tcPr>
            <w:tcW w:type="dxa" w:w="2880"/>
          </w:tcPr>
          <w:p>
            <w:r>
              <w:t>1,325,845</w:t>
            </w:r>
          </w:p>
        </w:tc>
        <w:tc>
          <w:tcPr>
            <w:tcW w:type="dxa" w:w="2880"/>
          </w:tcPr>
          <w:p>
            <w:r>
              <w:t>898,518</w:t>
            </w:r>
          </w:p>
        </w:tc>
      </w:tr>
      <w:tr>
        <w:tc>
          <w:tcPr>
            <w:tcW w:type="dxa" w:w="2880"/>
          </w:tcPr>
          <w:p>
            <w:r>
              <w:t>Midstream sales to external customers</w:t>
            </w:r>
          </w:p>
        </w:tc>
        <w:tc>
          <w:tcPr>
            <w:tcW w:type="dxa" w:w="2880"/>
          </w:tcPr>
          <w:p>
            <w:r>
              <w:t>39,622</w:t>
            </w:r>
          </w:p>
        </w:tc>
        <w:tc>
          <w:tcPr>
            <w:tcW w:type="dxa" w:w="2880"/>
          </w:tcPr>
          <w:p>
            <w:r>
              <w:t>28,115</w:t>
            </w:r>
          </w:p>
        </w:tc>
      </w:tr>
      <w:tr>
        <w:tc>
          <w:tcPr>
            <w:tcW w:type="dxa" w:w="2880"/>
          </w:tcPr>
          <w:p>
            <w:r>
              <w:t>Inter-segment sales</w:t>
            </w:r>
          </w:p>
        </w:tc>
        <w:tc>
          <w:tcPr>
            <w:tcW w:type="dxa" w:w="2880"/>
          </w:tcPr>
          <w:p>
            <w:r>
              <w:t>7,261</w:t>
            </w:r>
          </w:p>
        </w:tc>
        <w:tc>
          <w:tcPr>
            <w:tcW w:type="dxa" w:w="2880"/>
          </w:tcPr>
          <w:p>
            <w:r>
              <w:t>43,970</w:t>
            </w:r>
          </w:p>
        </w:tc>
      </w:tr>
      <w:tr>
        <w:tc>
          <w:tcPr>
            <w:tcW w:type="dxa" w:w="2880"/>
          </w:tcPr>
          <w:p>
            <w:r>
              <w:t xml:space="preserve"> Midstream sales</w:t>
            </w:r>
          </w:p>
        </w:tc>
        <w:tc>
          <w:tcPr>
            <w:tcW w:type="dxa" w:w="2880"/>
          </w:tcPr>
          <w:p>
            <w:r>
              <w:t>46,883</w:t>
            </w:r>
          </w:p>
        </w:tc>
        <w:tc>
          <w:tcPr>
            <w:tcW w:type="dxa" w:w="2880"/>
          </w:tcPr>
          <w:p>
            <w:r>
              <w:t>72,085</w:t>
            </w:r>
          </w:p>
        </w:tc>
      </w:tr>
      <w:tr>
        <w:tc>
          <w:tcPr>
            <w:tcW w:type="dxa" w:w="2880"/>
          </w:tcPr>
          <w:p>
            <w:r>
              <w:t>Elimination of midstream inter-segment sales</w:t>
            </w:r>
          </w:p>
        </w:tc>
        <w:tc>
          <w:tcPr>
            <w:tcW w:type="dxa" w:w="2880"/>
          </w:tcPr>
          <w:p>
            <w:r>
              <w:t>7,261)</w:t>
            </w:r>
          </w:p>
        </w:tc>
        <w:tc>
          <w:tcPr>
            <w:tcW w:type="dxa" w:w="2880"/>
          </w:tcPr>
          <w:p>
            <w:r>
              <w:t>(43,970)</w:t>
            </w:r>
          </w:p>
        </w:tc>
      </w:tr>
      <w:tr>
        <w:tc>
          <w:tcPr>
            <w:tcW w:type="dxa" w:w="2880"/>
          </w:tcPr>
          <w:p>
            <w:r>
              <w:t>Oil and gas sales and other revenue</w:t>
            </w:r>
          </w:p>
        </w:tc>
        <w:tc>
          <w:tcPr>
            <w:tcW w:type="dxa" w:w="2880"/>
          </w:tcPr>
          <w:p>
            <w:r>
              <w:t>$ 1,365,467$</w:t>
            </w:r>
          </w:p>
        </w:tc>
        <w:tc>
          <w:tcPr>
            <w:tcW w:type="dxa" w:w="2880"/>
          </w:tcPr>
          <w:p>
            <w:r>
              <w:t>926,633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