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NOTE 23 ACQUISITION AND RESTRUCTURING COSTS</w:t>
      </w:r>
    </w:p>
    <w:p>
      <w:pPr>
        <w:ind w:firstLine="360"/>
      </w:pPr>
      <w:r>
        <w:rPr>
          <w:sz w:val="20"/>
        </w:rPr>
        <w:t xml:space="preserve">isition and restructuring costs are summarized as follow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4320"/>
            <w:gridSpan w:val="2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</w:tr>
      <w:tr>
        <w:tc>
          <w:tcPr>
            <w:tcW w:type="dxa" w:w="2160"/>
          </w:tcPr>
          <w:p>
            <w:r>
              <w:t>Restructuring costs</w:t>
            </w:r>
          </w:p>
        </w:tc>
        <w:tc>
          <w:tcPr>
            <w:tcW w:type="dxa" w:w="2160"/>
          </w:tcPr>
          <w:p>
            <w:r>
              <w:t>$</w:t>
            </w:r>
          </w:p>
        </w:tc>
        <w:tc>
          <w:tcPr>
            <w:tcW w:type="dxa" w:w="2160"/>
          </w:tcPr>
          <w:p>
            <w:r>
              <w:t>71 $</w:t>
            </w:r>
          </w:p>
        </w:tc>
        <w:tc>
          <w:tcPr>
            <w:tcW w:type="dxa" w:w="2160"/>
          </w:tcPr>
          <w:p>
            <w:r>
              <w:t>(6)</w:t>
            </w:r>
          </w:p>
        </w:tc>
      </w:tr>
      <w:tr>
        <w:tc>
          <w:tcPr>
            <w:tcW w:type="dxa" w:w="2160"/>
          </w:tcPr>
          <w:p>
            <w:r>
              <w:t>Acquisition costs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$</w:t>
            </w:r>
          </w:p>
        </w:tc>
        <w:tc>
          <w:tcPr>
            <w:tcW w:type="dxa" w:w="2160"/>
          </w:tcPr>
          <w:p>
            <w:r>
              <w:t>71 $</w:t>
            </w:r>
          </w:p>
        </w:tc>
        <w:tc>
          <w:tcPr>
            <w:tcW w:type="dxa" w:w="2160"/>
          </w:tcPr>
          <w:p>
            <w:r>
              <w:t>(3)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RESTRUCTURING COSTS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During the fourth quarter of fiscal 2022,the Company announced several capital investments and consolidation </w:t>
      </w:r>
      <w:r>
        <w:rPr>
          <w:sz w:val="20"/>
        </w:rPr>
        <w:t xml:space="preserve">initiatives intended to enhance and streamline its manufacturing footprint in the USA Sector and International Sector. </w:t>
      </w:r>
      <w:r>
        <w:rPr>
          <w:sz w:val="20"/>
        </w:rPr>
        <w:t xml:space="preserve">In the UK, the Company undertook plans to outsource the Nuneaton facility's warehouse and distribution activities </w:t>
      </w:r>
      <w:r>
        <w:rPr>
          <w:sz w:val="20"/>
        </w:rPr>
        <w:t xml:space="preserve">creating opportunities for network consolidation within the Europe Sector. </w:t>
      </w:r>
    </w:p>
    <w:p>
      <w:pPr>
        <w:ind w:firstLine="360"/>
      </w:pPr>
      <w:r>
        <w:rPr>
          <w:sz w:val="20"/>
        </w:rPr>
        <w:t xml:space="preserve">Restructuring costs of $71 million $51 million after tax) were recorded during the fourth quarter of fiscal 2022,with </w:t>
      </w:r>
      <w:r>
        <w:rPr>
          <w:sz w:val="20"/>
        </w:rPr>
        <w:t xml:space="preserve">$53 million attributable to the International Sector, $9 million to the UsA Sector and $9 million to the Europe Sector </w:t>
      </w:r>
      <w:r>
        <w:rPr>
          <w:sz w:val="20"/>
        </w:rPr>
        <w:t xml:space="preserve">These restructuring costs included an impairment charge of property,plant and equipment of $60 million $43 million </w:t>
      </w:r>
      <w:r>
        <w:rPr>
          <w:sz w:val="20"/>
        </w:rPr>
        <w:t xml:space="preserve">after tax) and severance costs of $8 million $6 million after tax.Liabilities related to severance and other </w:t>
      </w:r>
      <w:r>
        <w:rPr>
          <w:sz w:val="20"/>
        </w:rPr>
        <w:t xml:space="preserve">restructuring costs are included in accounts payable and accrued liabilities on the consolidated statement of financial </w:t>
      </w:r>
      <w:r>
        <w:rPr>
          <w:sz w:val="20"/>
        </w:rPr>
        <w:t xml:space="preserve">position. </w:t>
      </w:r>
    </w:p>
    <w:p>
      <w:pPr>
        <w:ind w:firstLine="360"/>
      </w:pPr>
      <w:r>
        <w:rPr>
          <w:sz w:val="20"/>
        </w:rPr>
        <w:t xml:space="preserve">fiscal 2021,restructuring costs included a </w:t>
      </w:r>
      <w:r>
        <w:rPr>
          <w:sz w:val="20"/>
        </w:rPr>
        <w:t xml:space="preserve">gain on disposal of assets of $6 million </w:t>
      </w:r>
      <w:r>
        <w:rPr>
          <w:sz w:val="20"/>
        </w:rPr>
        <w:t xml:space="preserve">$5 million after taxrelating </w:t>
      </w:r>
      <w:r>
        <w:rPr>
          <w:sz w:val="20"/>
        </w:rPr>
        <w:t xml:space="preserve"> sale of a Canada Sector facility.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ACQUISITION COSTS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connection with the acquisitions completed during fiscal 2022 see Note 18), the Company incurred acquisit </w:t>
      </w:r>
      <w:r>
        <w:rPr>
          <w:sz w:val="20"/>
        </w:rPr>
        <w:t xml:space="preserve">sts of $6 million.Acquisition costs also include a favourable purchase price adjustment of $6 million for a prior ye </w:t>
      </w:r>
      <w:r>
        <w:rPr>
          <w:sz w:val="20"/>
        </w:rPr>
        <w:t xml:space="preserve">quisition.In fiscal 2021acquisition costs of $3 million $2 million after tax) were related to additional costs fron </w:t>
      </w:r>
      <w:r>
        <w:rPr>
          <w:sz w:val="20"/>
        </w:rPr>
        <w:t xml:space="preserve">or year acquisition.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NOTE 24 SEGMENTED INFORMATION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e Company reports under four geographic sectors.The Canada Sector consists of the Dairy Division Canad </w:t>
      </w:r>
      <w:r>
        <w:rPr>
          <w:sz w:val="20"/>
        </w:rPr>
        <w:t xml:space="preserve">e UsA Sector consists of the Dairy Division UsA). The International Sector comprises the Dairy Divis </w:t>
      </w:r>
      <w:r>
        <w:rPr>
          <w:sz w:val="20"/>
        </w:rPr>
        <w:t xml:space="preserve">ustralia) and the Dairy Division Argentina).The Europe Sector consists of the Dairy Division UK) </w:t>
      </w:r>
    </w:p>
    <w:p>
      <w:pPr>
        <w:ind w:firstLine="360"/>
      </w:pPr>
      <w:r>
        <w:rPr>
          <w:sz w:val="20"/>
        </w:rPr>
        <w:t xml:space="preserve">ese reportable sectors are managed separately as each sector represents a strategic business unit that off </w:t>
      </w:r>
      <w:r>
        <w:rPr>
          <w:sz w:val="20"/>
        </w:rPr>
        <w:t xml:space="preserve">erent products and serves different markets </w:t>
      </w:r>
    </w:p>
    <w:p>
      <w:pPr>
        <w:ind w:firstLine="360"/>
      </w:pPr>
      <w:r>
        <w:rPr>
          <w:sz w:val="20"/>
        </w:rPr>
        <w:t xml:space="preserve">The President and Chief Executive Officer, Chief Financial Officer, President and Chief Operating Officer North </w:t>
      </w:r>
      <w:r>
        <w:rPr>
          <w:sz w:val="20"/>
        </w:rPr>
        <w:t xml:space="preserve">America), and President and Chief Operating Officer (International and Europe) are, collectively, our chief operating </w:t>
      </w:r>
      <w:r>
        <w:rPr>
          <w:sz w:val="20"/>
        </w:rPr>
        <w:t xml:space="preserve">decision maker and regularly review our operations and performance by sector. They review adjusted EBlTDA as the </w:t>
      </w:r>
      <w:r>
        <w:rPr>
          <w:sz w:val="20"/>
        </w:rPr>
        <w:t xml:space="preserve">&lt;ey measure of profit for the purpose of assessing performance of each sector and to make decisions about the </w:t>
      </w:r>
      <w:r>
        <w:rPr>
          <w:sz w:val="20"/>
        </w:rPr>
        <w:t xml:space="preserve">allocation of resources.Adjusted EBlTDA is defined as net earnings before income taxes, financial charges </w:t>
      </w:r>
      <w:r>
        <w:rPr>
          <w:sz w:val="20"/>
        </w:rPr>
        <w:t xml:space="preserve">acquisition and restructuring costs, gain on disposal of assets, impairment of intangible assets,and depreciation and </w:t>
      </w:r>
      <w:r>
        <w:rPr>
          <w:sz w:val="20"/>
        </w:rPr>
        <w:t xml:space="preserve">amortization. </w:t>
      </w:r>
    </w:p>
    <w:p>
      <w:pPr>
        <w:ind w:firstLine="360"/>
      </w:pPr>
      <w:r>
        <w:rPr>
          <w:sz w:val="20"/>
        </w:rPr>
        <w:t xml:space="preserve">The divisions within the International </w:t>
      </w:r>
      <w:r>
        <w:rPr>
          <w:sz w:val="20"/>
        </w:rPr>
        <w:t xml:space="preserve">Sector </w:t>
      </w:r>
      <w:r>
        <w:rPr>
          <w:sz w:val="20"/>
        </w:rPr>
        <w:t xml:space="preserve">have </w:t>
      </w:r>
      <w:r>
        <w:rPr>
          <w:sz w:val="20"/>
        </w:rPr>
        <w:t xml:space="preserve">been combined due to similarities in </w:t>
      </w:r>
      <w:r>
        <w:rPr>
          <w:sz w:val="20"/>
        </w:rPr>
        <w:t xml:space="preserve">global market factors and </w:t>
      </w:r>
      <w:r>
        <w:rPr>
          <w:sz w:val="20"/>
        </w:rPr>
        <w:t xml:space="preserve">production processes.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