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6480"/>
            <w:gridSpan w:val="3"/>
          </w:tcPr>
          <w:p>
            <w:r>
              <w:t>For the years ended March 31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2021</w:t>
            </w:r>
          </w:p>
        </w:tc>
      </w:tr>
      <w:tr>
        <w:tc>
          <w:tcPr>
            <w:tcW w:type="dxa" w:w="2160"/>
          </w:tcPr>
          <w:p>
            <w:r>
              <w:t>Revenues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Canada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4,281$</w:t>
            </w:r>
          </w:p>
        </w:tc>
        <w:tc>
          <w:tcPr>
            <w:tcW w:type="dxa" w:w="2160"/>
          </w:tcPr>
          <w:p>
            <w:r>
              <w:t>4,135</w:t>
            </w:r>
          </w:p>
        </w:tc>
      </w:tr>
      <w:tr>
        <w:tc>
          <w:tcPr>
            <w:tcW w:type="dxa" w:w="2160"/>
          </w:tcPr>
          <w:p>
            <w:r>
              <w:t>USA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6,409</w:t>
            </w:r>
          </w:p>
        </w:tc>
        <w:tc>
          <w:tcPr>
            <w:tcW w:type="dxa" w:w="2160"/>
          </w:tcPr>
          <w:p>
            <w:r>
              <w:t>6,122</w:t>
            </w:r>
          </w:p>
        </w:tc>
      </w:tr>
      <w:tr>
        <w:tc>
          <w:tcPr>
            <w:tcW w:type="dxa" w:w="2160"/>
          </w:tcPr>
          <w:p>
            <w:r>
              <w:t>International!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3,453</w:t>
            </w:r>
          </w:p>
        </w:tc>
        <w:tc>
          <w:tcPr>
            <w:tcW w:type="dxa" w:w="2160"/>
          </w:tcPr>
          <w:p>
            <w:r>
              <w:t>3,221</w:t>
            </w:r>
          </w:p>
        </w:tc>
      </w:tr>
      <w:tr>
        <w:tc>
          <w:tcPr>
            <w:tcW w:type="dxa" w:w="2160"/>
          </w:tcPr>
          <w:p>
            <w:r>
              <w:t>Europe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892</w:t>
            </w:r>
          </w:p>
        </w:tc>
        <w:tc>
          <w:tcPr>
            <w:tcW w:type="dxa" w:w="2160"/>
          </w:tcPr>
          <w:p>
            <w:r>
              <w:t>816</w:t>
            </w:r>
          </w:p>
        </w:tc>
      </w:tr>
      <w:tr>
        <w:tc>
          <w:tcPr>
            <w:tcW w:type="dxa" w:w="2160"/>
          </w:tcPr>
          <w:p>
            <w:r>
              <w:t>Operating costs excluding depreciation, amortization, and restructuring costs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15,035$</w:t>
            </w:r>
          </w:p>
        </w:tc>
        <w:tc>
          <w:tcPr>
            <w:tcW w:type="dxa" w:w="2160"/>
          </w:tcPr>
          <w:p>
            <w:r>
              <w:t>14,294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3,806$</w:t>
            </w:r>
          </w:p>
        </w:tc>
        <w:tc>
          <w:tcPr>
            <w:tcW w:type="dxa" w:w="2160"/>
          </w:tcPr>
          <w:p>
            <w:r>
              <w:t>3,688</w:t>
            </w:r>
          </w:p>
        </w:tc>
      </w:tr>
      <w:tr>
        <w:tc>
          <w:tcPr>
            <w:tcW w:type="dxa" w:w="2160"/>
          </w:tcPr>
          <w:p>
            <w:r>
              <w:t>Canada USA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6,121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5,555</w:t>
            </w:r>
          </w:p>
        </w:tc>
      </w:tr>
      <w:tr>
        <w:tc>
          <w:tcPr>
            <w:tcW w:type="dxa" w:w="2160"/>
          </w:tcPr>
          <w:p>
            <w:r>
              <w:t>International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3,205</w:t>
            </w:r>
          </w:p>
        </w:tc>
        <w:tc>
          <w:tcPr>
            <w:tcW w:type="dxa" w:w="2160"/>
          </w:tcPr>
          <w:p>
            <w:r>
              <w:t>2,916 664</w:t>
            </w:r>
          </w:p>
        </w:tc>
      </w:tr>
      <w:tr>
        <w:tc>
          <w:tcPr>
            <w:tcW w:type="dxa" w:w="2160"/>
          </w:tcPr>
          <w:p>
            <w:r>
              <w:t>Europe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748 13,880$</w:t>
            </w:r>
          </w:p>
        </w:tc>
        <w:tc>
          <w:tcPr>
            <w:tcW w:type="dxa" w:w="2160"/>
          </w:tcPr>
          <w:p>
            <w:r>
              <w:t>12,823</w:t>
            </w:r>
          </w:p>
        </w:tc>
      </w:tr>
      <w:tr>
        <w:tc>
          <w:tcPr>
            <w:tcW w:type="dxa" w:w="2160"/>
          </w:tcPr>
          <w:p>
            <w:r>
              <w:t>Adjusted EBITDA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Canada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475$</w:t>
            </w:r>
          </w:p>
        </w:tc>
        <w:tc>
          <w:tcPr>
            <w:tcW w:type="dxa" w:w="2160"/>
          </w:tcPr>
          <w:p>
            <w:r>
              <w:t>447</w:t>
            </w:r>
          </w:p>
        </w:tc>
      </w:tr>
      <w:tr>
        <w:tc>
          <w:tcPr>
            <w:tcW w:type="dxa" w:w="2160"/>
          </w:tcPr>
          <w:p>
            <w:r>
              <w:t>USA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288</w:t>
            </w:r>
          </w:p>
        </w:tc>
        <w:tc>
          <w:tcPr>
            <w:tcW w:type="dxa" w:w="2160"/>
          </w:tcPr>
          <w:p>
            <w:r>
              <w:t>567</w:t>
            </w:r>
          </w:p>
        </w:tc>
      </w:tr>
      <w:tr>
        <w:tc>
          <w:tcPr>
            <w:tcW w:type="dxa" w:w="2160"/>
          </w:tcPr>
          <w:p>
            <w:r>
              <w:t>International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248</w:t>
            </w:r>
          </w:p>
        </w:tc>
        <w:tc>
          <w:tcPr>
            <w:tcW w:type="dxa" w:w="2160"/>
          </w:tcPr>
          <w:p>
            <w:r>
              <w:t>305</w:t>
            </w:r>
          </w:p>
        </w:tc>
      </w:tr>
      <w:tr>
        <w:tc>
          <w:tcPr>
            <w:tcW w:type="dxa" w:w="2160"/>
          </w:tcPr>
          <w:p>
            <w:r>
              <w:t>Europe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144</w:t>
            </w:r>
          </w:p>
        </w:tc>
        <w:tc>
          <w:tcPr>
            <w:tcW w:type="dxa" w:w="2160"/>
          </w:tcPr>
          <w:p>
            <w:r>
              <w:t>152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1,155$</w:t>
            </w:r>
          </w:p>
        </w:tc>
        <w:tc>
          <w:tcPr>
            <w:tcW w:type="dxa" w:w="2160"/>
          </w:tcPr>
          <w:p>
            <w:r>
              <w:t>1,471</w:t>
            </w:r>
          </w:p>
        </w:tc>
      </w:tr>
      <w:tr>
        <w:tc>
          <w:tcPr>
            <w:tcW w:type="dxa" w:w="2160"/>
          </w:tcPr>
          <w:p>
            <w:r>
              <w:t>Depreciation and amortization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Canada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103$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USA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210</w:t>
            </w:r>
          </w:p>
        </w:tc>
        <w:tc>
          <w:tcPr>
            <w:tcW w:type="dxa" w:w="2160"/>
          </w:tcPr>
          <w:p>
            <w:r>
              <w:t>200</w:t>
            </w:r>
          </w:p>
        </w:tc>
      </w:tr>
      <w:tr>
        <w:tc>
          <w:tcPr>
            <w:tcW w:type="dxa" w:w="2160"/>
          </w:tcPr>
          <w:p>
            <w:r>
              <w:t>International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132</w:t>
            </w:r>
          </w:p>
        </w:tc>
        <w:tc>
          <w:tcPr>
            <w:tcW w:type="dxa" w:w="2160"/>
          </w:tcPr>
          <w:p>
            <w:r>
              <w:t>112</w:t>
            </w:r>
          </w:p>
        </w:tc>
      </w:tr>
      <w:tr>
        <w:tc>
          <w:tcPr>
            <w:tcW w:type="dxa" w:w="2160"/>
          </w:tcPr>
          <w:p>
            <w:r>
              <w:t>Europe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115</w:t>
            </w:r>
          </w:p>
        </w:tc>
        <w:tc>
          <w:tcPr>
            <w:tcW w:type="dxa" w:w="2160"/>
          </w:tcPr>
          <w:p>
            <w:r>
              <w:t>104</w:t>
            </w:r>
          </w:p>
        </w:tc>
      </w:tr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560$</w:t>
            </w:r>
          </w:p>
        </w:tc>
        <w:tc>
          <w:tcPr>
            <w:tcW w:type="dxa" w:w="2160"/>
          </w:tcPr>
          <w:p>
            <w:r>
              <w:t>515</w:t>
            </w:r>
          </w:p>
        </w:tc>
      </w:tr>
      <w:tr>
        <w:tc>
          <w:tcPr>
            <w:tcW w:type="dxa" w:w="2160"/>
          </w:tcPr>
          <w:p>
            <w:r>
              <w:t>Impairment of intangible assets (Note 8)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Gain on disposal of assets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(9)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</w:tr>
      <w:tr>
        <w:tc>
          <w:tcPr>
            <w:tcW w:type="dxa" w:w="2160"/>
          </w:tcPr>
          <w:p>
            <w:r>
              <w:t>Acquisition and restructuring costs (Note 23)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(3)</w:t>
            </w:r>
          </w:p>
        </w:tc>
      </w:tr>
      <w:tr>
        <w:tc>
          <w:tcPr>
            <w:tcW w:type="dxa" w:w="2160"/>
          </w:tcPr>
          <w:p>
            <w:r>
              <w:t>Financial charges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96</w:t>
            </w:r>
          </w:p>
        </w:tc>
      </w:tr>
      <w:tr>
        <w:tc>
          <w:tcPr>
            <w:tcW w:type="dxa" w:w="2160"/>
          </w:tcPr>
          <w:p>
            <w:r>
              <w:t>Earnings before income taxes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405</w:t>
            </w:r>
          </w:p>
        </w:tc>
        <w:tc>
          <w:tcPr>
            <w:tcW w:type="dxa" w:w="2160"/>
          </w:tcPr>
          <w:p>
            <w:r>
              <w:t>844</w:t>
            </w:r>
          </w:p>
        </w:tc>
      </w:tr>
      <w:tr>
        <w:tc>
          <w:tcPr>
            <w:tcW w:type="dxa" w:w="2160"/>
          </w:tcPr>
          <w:p>
            <w:r>
              <w:t>Income taxes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131</w:t>
            </w:r>
          </w:p>
        </w:tc>
        <w:tc>
          <w:tcPr>
            <w:tcW w:type="dxa" w:w="2160"/>
          </w:tcPr>
          <w:p>
            <w:r>
              <w:t>218</w:t>
            </w:r>
          </w:p>
        </w:tc>
      </w:tr>
      <w:tr>
        <w:tc>
          <w:tcPr>
            <w:tcW w:type="dxa" w:w="2160"/>
          </w:tcPr>
          <w:p>
            <w:r>
              <w:t>Net earnings</w:t>
            </w:r>
          </w:p>
        </w:tc>
        <w:tc>
          <w:tcPr>
            <w:tcW w:type="dxa" w:w="2160"/>
          </w:tcPr>
          <w:p>
            <w:r>
              <w:t>$</w:t>
            </w:r>
          </w:p>
        </w:tc>
        <w:tc>
          <w:tcPr>
            <w:tcW w:type="dxa" w:w="2160"/>
          </w:tcPr>
          <w:p>
            <w:r>
              <w:t>274$</w:t>
            </w:r>
          </w:p>
        </w:tc>
        <w:tc>
          <w:tcPr>
            <w:tcW w:type="dxa" w:w="2160"/>
          </w:tcPr>
          <w:p>
            <w:r>
              <w:t>626</w:t>
            </w:r>
          </w:p>
        </w:tc>
      </w:tr>
    </w:tbl>
    <w:p>
      <w:pPr>
        <w:ind w:firstLine="360"/>
      </w:pPr>
      <w:r>
        <w:rPr>
          <w:sz w:val="20"/>
        </w:rPr>
        <w:t xml:space="preserve">Australia acco </w:t>
      </w:r>
      <w:r>
        <w:rPr>
          <w:sz w:val="20"/>
        </w:rPr>
        <w:t xml:space="preserve">onof the </w:t>
      </w:r>
      <w:r>
        <w:rPr>
          <w:sz w:val="20"/>
        </w:rPr>
        <w:t xml:space="preserve">International Sector's revenues while Argentina accounted for $925 million and </w:t>
      </w:r>
      <w:r>
        <w:rPr>
          <w:sz w:val="20"/>
        </w:rPr>
        <w:t xml:space="preserve">$692 million for the years ended March 31,2022, and 2021, respectively.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