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widowControl w:val="0"/>
        <w:autoSpaceDE w:val="0"/>
        <w:autoSpaceDN w:val="0"/>
        <w:adjustRightInd w:val="0"/>
        <w:spacing w:before="240" w:after="180"/>
        <w:rPr>
          <w:rFonts w:ascii="Courier New" w:hAnsi="Courier New" w:cs="Courier New"/>
          <w:rtl w:val="0"/>
        </w:rPr>
      </w:pPr>
      <w:bookmarkStart w:id="0" w:name="Summary"/>
      <w:r>
        <w:rPr>
          <w:rFonts w:ascii="Courier New" w:hAnsi="Courier New" w:cs="Courier New"/>
          <w:b/>
          <w:sz w:val="36"/>
        </w:rPr>
        <w:t>10. Summary</w:t>
      </w:r>
      <w:bookmarkEnd w:id="0"/>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The Testing Strategy detailed in this document is designed to enhance the effectiveness, efficiency, and governance of testing processes. It emphasizes:</w:t>
      </w:r>
    </w:p>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Effectiveness</w:t>
      </w:r>
    </w:p>
    <w:p>
      <w:pPr>
        <w:widowControl w:val="0"/>
        <w:numPr>
          <w:ilvl w:val="0"/>
          <w:numId w:val="1"/>
        </w:numPr>
        <w:autoSpaceDE w:val="0"/>
        <w:autoSpaceDN w:val="0"/>
        <w:adjustRightInd w:val="0"/>
        <w:spacing w:before="180" w:after="180"/>
        <w:rPr>
          <w:rFonts w:ascii="Courier New" w:hAnsi="Courier New" w:cs="Courier New"/>
          <w:rtl w:val="0"/>
        </w:rPr>
      </w:pPr>
      <w:r>
        <w:rPr>
          <w:rFonts w:ascii="Courier New" w:hAnsi="Courier New" w:cs="Courier New"/>
        </w:rPr>
        <w:t>Early and continuous testing engagement through a shift-left approach.</w:t>
      </w:r>
    </w:p>
    <w:p>
      <w:pPr>
        <w:widowControl w:val="0"/>
        <w:numPr>
          <w:ilvl w:val="0"/>
          <w:numId w:val="1"/>
        </w:numPr>
        <w:autoSpaceDE w:val="0"/>
        <w:autoSpaceDN w:val="0"/>
        <w:adjustRightInd w:val="0"/>
        <w:spacing w:before="180" w:after="180"/>
        <w:rPr>
          <w:rFonts w:ascii="Courier New" w:hAnsi="Courier New" w:cs="Courier New"/>
        </w:rPr>
      </w:pPr>
      <w:r>
        <w:rPr>
          <w:rFonts w:ascii="Courier New" w:hAnsi="Courier New" w:cs="Courier New"/>
        </w:rPr>
        <w:t>Improved quality and comprehensive test case coverage using structured practices such as Behavior-Driven Development (BDD) and peer reviews.</w:t>
      </w:r>
    </w:p>
    <w:p>
      <w:pPr>
        <w:widowControl w:val="0"/>
        <w:numPr>
          <w:ilvl w:val="0"/>
          <w:numId w:val="1"/>
        </w:numPr>
        <w:autoSpaceDE w:val="0"/>
        <w:autoSpaceDN w:val="0"/>
        <w:adjustRightInd w:val="0"/>
        <w:spacing w:before="180" w:after="180"/>
        <w:rPr>
          <w:rFonts w:ascii="Courier New" w:hAnsi="Courier New" w:cs="Courier New"/>
        </w:rPr>
      </w:pPr>
      <w:r>
        <w:rPr>
          <w:rFonts w:ascii="Courier New" w:hAnsi="Courier New" w:cs="Courier New"/>
        </w:rPr>
        <w:t>Inclusion of downstream system impacts and Business-As-Usual (BAU) validations in testing scenarios to strengthen system stability and reduce production risks.</w:t>
      </w:r>
    </w:p>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Efficiency</w:t>
      </w:r>
    </w:p>
    <w:p>
      <w:pPr>
        <w:widowControl w:val="0"/>
        <w:numPr>
          <w:ilvl w:val="0"/>
          <w:numId w:val="2"/>
        </w:numPr>
        <w:autoSpaceDE w:val="0"/>
        <w:autoSpaceDN w:val="0"/>
        <w:adjustRightInd w:val="0"/>
        <w:spacing w:before="180" w:after="180"/>
        <w:rPr>
          <w:rFonts w:ascii="Courier New" w:hAnsi="Courier New" w:cs="Courier New"/>
          <w:rtl w:val="0"/>
        </w:rPr>
      </w:pPr>
      <w:r>
        <w:rPr>
          <w:rFonts w:ascii="Courier New" w:hAnsi="Courier New" w:cs="Courier New"/>
        </w:rPr>
        <w:t>Extensive automation using tools such as DataGuard, RAFT, and BDD-Gherkin to reduce manual workload.</w:t>
      </w:r>
    </w:p>
    <w:p>
      <w:pPr>
        <w:widowControl w:val="0"/>
        <w:numPr>
          <w:ilvl w:val="0"/>
          <w:numId w:val="2"/>
        </w:numPr>
        <w:autoSpaceDE w:val="0"/>
        <w:autoSpaceDN w:val="0"/>
        <w:adjustRightInd w:val="0"/>
        <w:spacing w:before="180" w:after="180"/>
        <w:rPr>
          <w:rFonts w:ascii="Courier New" w:hAnsi="Courier New" w:cs="Courier New"/>
        </w:rPr>
      </w:pPr>
      <w:r>
        <w:rPr>
          <w:rFonts w:ascii="Courier New" w:hAnsi="Courier New" w:cs="Courier New"/>
        </w:rPr>
        <w:t>Standardized test management processes and structured test case documentation within JIRA to eliminate redundancy and promote reusability.</w:t>
      </w:r>
    </w:p>
    <w:p>
      <w:pPr>
        <w:widowControl w:val="0"/>
        <w:numPr>
          <w:ilvl w:val="0"/>
          <w:numId w:val="2"/>
        </w:numPr>
        <w:autoSpaceDE w:val="0"/>
        <w:autoSpaceDN w:val="0"/>
        <w:adjustRightInd w:val="0"/>
        <w:spacing w:before="180" w:after="180"/>
        <w:rPr>
          <w:rFonts w:ascii="Courier New" w:hAnsi="Courier New" w:cs="Courier New"/>
        </w:rPr>
      </w:pPr>
      <w:r>
        <w:rPr>
          <w:rFonts w:ascii="Courier New" w:hAnsi="Courier New" w:cs="Courier New"/>
        </w:rPr>
        <w:t>Consistent test environment strategies to ensure reliability and repeatability of outcomes.</w:t>
      </w:r>
    </w:p>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Governance</w:t>
      </w:r>
    </w:p>
    <w:p>
      <w:pPr>
        <w:widowControl w:val="0"/>
        <w:numPr>
          <w:ilvl w:val="0"/>
          <w:numId w:val="3"/>
        </w:numPr>
        <w:autoSpaceDE w:val="0"/>
        <w:autoSpaceDN w:val="0"/>
        <w:adjustRightInd w:val="0"/>
        <w:spacing w:before="180" w:after="180"/>
        <w:rPr>
          <w:rFonts w:ascii="Courier New" w:hAnsi="Courier New" w:cs="Courier New"/>
          <w:rtl w:val="0"/>
        </w:rPr>
      </w:pPr>
      <w:r>
        <w:rPr>
          <w:rFonts w:ascii="Courier New" w:hAnsi="Courier New" w:cs="Courier New"/>
        </w:rPr>
        <w:t>Clear accountability and traceability established through comprehensive documentation and unified JIRA project structures.</w:t>
      </w:r>
    </w:p>
    <w:p>
      <w:pPr>
        <w:widowControl w:val="0"/>
        <w:numPr>
          <w:ilvl w:val="0"/>
          <w:numId w:val="3"/>
        </w:numPr>
        <w:autoSpaceDE w:val="0"/>
        <w:autoSpaceDN w:val="0"/>
        <w:adjustRightInd w:val="0"/>
        <w:spacing w:before="180" w:after="180"/>
        <w:rPr>
          <w:rFonts w:ascii="Courier New" w:hAnsi="Courier New" w:cs="Courier New"/>
        </w:rPr>
      </w:pPr>
      <w:r>
        <w:rPr>
          <w:rFonts w:ascii="Courier New" w:hAnsi="Courier New" w:cs="Courier New"/>
        </w:rPr>
        <w:t>Implementation of standardized Key Performance Indicators (KPIs) to measure testing performance transparently.</w:t>
      </w:r>
    </w:p>
    <w:p>
      <w:pPr>
        <w:widowControl w:val="0"/>
        <w:numPr>
          <w:ilvl w:val="0"/>
          <w:numId w:val="3"/>
        </w:numPr>
        <w:autoSpaceDE w:val="0"/>
        <w:autoSpaceDN w:val="0"/>
        <w:adjustRightInd w:val="0"/>
        <w:spacing w:before="180" w:after="180"/>
        <w:rPr>
          <w:rFonts w:ascii="Courier New" w:hAnsi="Courier New" w:cs="Courier New"/>
        </w:rPr>
      </w:pPr>
      <w:r>
        <w:rPr>
          <w:rFonts w:ascii="Courier New" w:hAnsi="Courier New" w:cs="Courier New"/>
        </w:rPr>
        <w:t>Structured effort estimation practices to enhance planning accuracy and resource allocation.</w:t>
      </w:r>
    </w:p>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Roadmap</w:t>
      </w:r>
    </w:p>
    <w:p>
      <w:pPr>
        <w:widowControl w:val="0"/>
        <w:numPr>
          <w:ilvl w:val="0"/>
          <w:numId w:val="4"/>
        </w:numPr>
        <w:autoSpaceDE w:val="0"/>
        <w:autoSpaceDN w:val="0"/>
        <w:adjustRightInd w:val="0"/>
        <w:spacing w:before="180" w:after="180"/>
        <w:rPr>
          <w:rFonts w:ascii="Courier New" w:hAnsi="Courier New" w:cs="Courier New"/>
          <w:rtl w:val="0"/>
        </w:rPr>
      </w:pPr>
      <w:r>
        <w:rPr>
          <w:rFonts w:ascii="Courier New" w:hAnsi="Courier New" w:cs="Courier New"/>
        </w:rPr>
        <w:t>Structured phases implemented over 10 weeks, concluding with a 2-week evaluation.</w:t>
      </w:r>
    </w:p>
    <w:p>
      <w:pPr>
        <w:widowControl w:val="0"/>
        <w:numPr>
          <w:ilvl w:val="0"/>
          <w:numId w:val="4"/>
        </w:numPr>
        <w:autoSpaceDE w:val="0"/>
        <w:autoSpaceDN w:val="0"/>
        <w:adjustRightInd w:val="0"/>
        <w:spacing w:before="180" w:after="180"/>
        <w:rPr>
          <w:rFonts w:ascii="Courier New" w:hAnsi="Courier New" w:cs="Courier New"/>
        </w:rPr>
      </w:pPr>
      <w:r>
        <w:rPr>
          <w:rFonts w:ascii="Courier New" w:hAnsi="Courier New" w:cs="Courier New"/>
        </w:rPr>
        <w:t>Clear milestones for foundational setup, automation implementation, enhanced quality and governance, and a final comprehensive evaluation.</w:t>
      </w:r>
    </w:p>
    <w:p>
      <w:pPr>
        <w:widowControl w:val="0"/>
        <w:numPr>
          <w:ilvl w:val="0"/>
          <w:numId w:val="4"/>
        </w:numPr>
        <w:autoSpaceDE w:val="0"/>
        <w:autoSpaceDN w:val="0"/>
        <w:adjustRightInd w:val="0"/>
        <w:spacing w:before="180" w:after="180"/>
        <w:rPr>
          <w:rFonts w:ascii="Courier New" w:hAnsi="Courier New" w:cs="Courier New"/>
        </w:rPr>
      </w:pPr>
      <w:r>
        <w:rPr>
          <w:rFonts w:ascii="Courier New" w:hAnsi="Courier New" w:cs="Courier New"/>
        </w:rPr>
        <w:t>Proactive contingency plans to address potential challenges, ensuring minimal disruption and continued progress.</w:t>
      </w:r>
    </w:p>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Roles and Responsibilities (RACI)</w:t>
      </w:r>
    </w:p>
    <w:p>
      <w:pPr>
        <w:widowControl w:val="0"/>
        <w:numPr>
          <w:ilvl w:val="0"/>
          <w:numId w:val="5"/>
        </w:numPr>
        <w:autoSpaceDE w:val="0"/>
        <w:autoSpaceDN w:val="0"/>
        <w:adjustRightInd w:val="0"/>
        <w:spacing w:before="180" w:after="180"/>
        <w:rPr>
          <w:rFonts w:ascii="Courier New" w:hAnsi="Courier New" w:cs="Courier New"/>
          <w:rtl w:val="0"/>
        </w:rPr>
      </w:pPr>
      <w:r>
        <w:rPr>
          <w:rFonts w:ascii="Courier New" w:hAnsi="Courier New" w:cs="Courier New"/>
        </w:rPr>
        <w:t>Defined roles and accountability clearly outlined for all testing activities.</w:t>
      </w:r>
    </w:p>
    <w:p>
      <w:pPr>
        <w:widowControl w:val="0"/>
        <w:numPr>
          <w:ilvl w:val="0"/>
          <w:numId w:val="5"/>
        </w:numPr>
        <w:autoSpaceDE w:val="0"/>
        <w:autoSpaceDN w:val="0"/>
        <w:adjustRightInd w:val="0"/>
        <w:spacing w:before="180" w:after="180"/>
        <w:rPr>
          <w:rFonts w:ascii="Courier New" w:hAnsi="Courier New" w:cs="Courier New"/>
        </w:rPr>
      </w:pPr>
      <w:r>
        <w:rPr>
          <w:rFonts w:ascii="Courier New" w:hAnsi="Courier New" w:cs="Courier New"/>
        </w:rPr>
        <w:t>Cross-functional stakeholder engagement emphasized to streamline coordination, decision-making, and execution.</w:t>
      </w:r>
    </w:p>
    <w:p>
      <w:pPr>
        <w:widowControl w:val="0"/>
        <w:numPr>
          <w:ilvl w:val="0"/>
          <w:numId w:val="5"/>
        </w:numPr>
        <w:autoSpaceDE w:val="0"/>
        <w:autoSpaceDN w:val="0"/>
        <w:adjustRightInd w:val="0"/>
        <w:spacing w:before="180" w:after="180"/>
        <w:rPr>
          <w:rFonts w:ascii="Courier New" w:hAnsi="Courier New" w:cs="Courier New"/>
        </w:rPr>
      </w:pPr>
      <w:r>
        <w:rPr>
          <w:rFonts w:ascii="Courier New" w:hAnsi="Courier New" w:cs="Courier New"/>
        </w:rPr>
        <w:t>Transition of responsibilities to delivery teams post-implementation, supported by continuous strategic consultation from the Testing Center of Excellence (TCoE).</w:t>
      </w:r>
    </w:p>
    <w:p>
      <w:pPr>
        <w:widowControl w:val="0"/>
        <w:autoSpaceDE w:val="0"/>
        <w:autoSpaceDN w:val="0"/>
        <w:adjustRightInd w:val="0"/>
        <w:spacing w:before="180" w:after="180"/>
        <w:ind w:left="540" w:hanging="270"/>
        <w:jc w:val="left"/>
        <w:rPr>
          <w:rFonts w:ascii="Courier New" w:hAnsi="Courier New" w:cs="Courier New"/>
          <w:rtl w:val="0"/>
        </w:rPr>
      </w:pPr>
      <w:bookmarkStart w:id="1" w:name="Conclusion"/>
    </w:p>
    <w:p>
      <w:pPr>
        <w:widowControl w:val="0"/>
        <w:autoSpaceDE w:val="0"/>
        <w:autoSpaceDN w:val="0"/>
        <w:adjustRightInd w:val="0"/>
        <w:spacing w:before="240" w:after="180"/>
        <w:rPr>
          <w:rFonts w:ascii="Courier New" w:hAnsi="Courier New" w:cs="Courier New"/>
          <w:rtl w:val="0"/>
        </w:rPr>
      </w:pPr>
      <w:r>
        <w:rPr>
          <w:rFonts w:ascii="Sitka Text" w:hAnsi="Sitka Text" w:cs="Sitka Text"/>
          <w:b/>
          <w:i w:val="0"/>
          <w:sz w:val="36"/>
        </w:rPr>
        <w:t>11. Conclusion</w:t>
      </w:r>
      <w:bookmarkEnd w:id="1"/>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The structured implementation of this Testing Strategy positions teams to consistently deliver high-quality, reliable, and compliant solutions. By embedding robust governance, comprehensive testing practices, and extensive automation into the delivery lifecycle, the strategy ensures sustained improvements across the organization's testing capabilities.</w:t>
      </w:r>
    </w:p>
    <w:p>
      <w:pPr>
        <w:widowControl w:val="0"/>
        <w:autoSpaceDE w:val="0"/>
        <w:autoSpaceDN w:val="0"/>
        <w:adjustRightInd w:val="0"/>
        <w:spacing w:before="180" w:after="180"/>
        <w:rPr>
          <w:rFonts w:ascii="Courier New" w:hAnsi="Courier New" w:cs="Courier New"/>
        </w:rPr>
      </w:pPr>
      <w:r>
        <w:rPr>
          <w:rFonts w:ascii="Sitka Text" w:hAnsi="Sitka Text" w:cs="Sitka Text"/>
          <w:b/>
          <w:i w:val="0"/>
        </w:rPr>
        <w:t>Key outcomes include:</w:t>
      </w:r>
    </w:p>
    <w:p>
      <w:pPr>
        <w:widowControl w:val="0"/>
        <w:numPr>
          <w:ilvl w:val="0"/>
          <w:numId w:val="6"/>
        </w:numPr>
        <w:autoSpaceDE w:val="0"/>
        <w:autoSpaceDN w:val="0"/>
        <w:adjustRightInd w:val="0"/>
        <w:spacing w:before="180" w:after="180"/>
        <w:rPr>
          <w:rFonts w:ascii="Courier New" w:hAnsi="Courier New" w:cs="Courier New"/>
          <w:rtl w:val="0"/>
        </w:rPr>
      </w:pPr>
      <w:r>
        <w:rPr>
          <w:rFonts w:ascii="Sitka Text" w:hAnsi="Sitka Text" w:cs="Sitka Text"/>
          <w:b w:val="0"/>
          <w:i w:val="0"/>
        </w:rPr>
        <w:t>Accelerated defect detection and resolution.</w:t>
      </w:r>
    </w:p>
    <w:p>
      <w:pPr>
        <w:widowControl w:val="0"/>
        <w:numPr>
          <w:ilvl w:val="0"/>
          <w:numId w:val="6"/>
        </w:numPr>
        <w:autoSpaceDE w:val="0"/>
        <w:autoSpaceDN w:val="0"/>
        <w:adjustRightInd w:val="0"/>
        <w:spacing w:before="180" w:after="180"/>
        <w:rPr>
          <w:rFonts w:ascii="Courier New" w:hAnsi="Courier New" w:cs="Courier New"/>
        </w:rPr>
      </w:pPr>
      <w:r>
        <w:rPr>
          <w:rFonts w:ascii="Sitka Text" w:hAnsi="Sitka Text" w:cs="Sitka Text"/>
          <w:b w:val="0"/>
          <w:i w:val="0"/>
        </w:rPr>
        <w:t>Enhanced transparency and accountability across all testing activities.</w:t>
      </w:r>
    </w:p>
    <w:p>
      <w:pPr>
        <w:widowControl w:val="0"/>
        <w:numPr>
          <w:ilvl w:val="0"/>
          <w:numId w:val="6"/>
        </w:numPr>
        <w:autoSpaceDE w:val="0"/>
        <w:autoSpaceDN w:val="0"/>
        <w:adjustRightInd w:val="0"/>
        <w:spacing w:before="180" w:after="180"/>
        <w:rPr>
          <w:rFonts w:ascii="Courier New" w:hAnsi="Courier New" w:cs="Courier New"/>
        </w:rPr>
      </w:pPr>
      <w:r>
        <w:rPr>
          <w:rFonts w:ascii="Sitka Text" w:hAnsi="Sitka Text" w:cs="Sitka Text"/>
          <w:b w:val="0"/>
          <w:i w:val="0"/>
        </w:rPr>
        <w:t>Reduced manual testing efforts and improved productivity through automation.</w:t>
      </w:r>
    </w:p>
    <w:p>
      <w:pPr>
        <w:widowControl w:val="0"/>
        <w:numPr>
          <w:ilvl w:val="0"/>
          <w:numId w:val="6"/>
        </w:numPr>
        <w:autoSpaceDE w:val="0"/>
        <w:autoSpaceDN w:val="0"/>
        <w:adjustRightInd w:val="0"/>
        <w:spacing w:before="180" w:after="180"/>
        <w:rPr>
          <w:rFonts w:ascii="Courier New" w:hAnsi="Courier New" w:cs="Courier New"/>
        </w:rPr>
      </w:pPr>
      <w:r>
        <w:rPr>
          <w:rFonts w:ascii="Sitka Text" w:hAnsi="Sitka Text" w:cs="Sitka Text"/>
          <w:b w:val="0"/>
          <w:i w:val="0"/>
        </w:rPr>
        <w:t>Strengthened stakeholder confidence with reliable and predictable test outcomes.</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Continuous evaluation and refinement of the strategy, guided by clearly defined KPIs and stakeholder feedback, will sustain ongoing improvements and alignment with business objectives, ultimately enhancing overall business performance and user satisfaction.</w:t>
      </w:r>
    </w:p>
    <w:p>
      <w:pPr>
        <w:widowControl w:val="0"/>
        <w:autoSpaceDE w:val="0"/>
        <w:autoSpaceDN w:val="0"/>
        <w:adjustRightInd w:val="0"/>
        <w:spacing w:before="180" w:after="180"/>
        <w:jc w:val="left"/>
        <w:rPr>
          <w:rFonts w:ascii="Sitka Text" w:hAnsi="Courier New" w:cs="Courier New"/>
          <w:b w:val="0"/>
          <w:i w:val="0"/>
          <w:rtl w:val="0"/>
        </w:rPr>
      </w:pPr>
      <w:bookmarkStart w:id="2" w:name="AppendixA"/>
    </w:p>
    <w:p>
      <w:pPr>
        <w:widowControl w:val="0"/>
        <w:autoSpaceDE w:val="0"/>
        <w:autoSpaceDN w:val="0"/>
        <w:adjustRightInd w:val="0"/>
        <w:spacing w:before="240" w:after="180"/>
        <w:rPr>
          <w:rFonts w:ascii="Courier New" w:hAnsi="Courier New" w:cs="Courier New"/>
          <w:rtl w:val="0"/>
        </w:rPr>
      </w:pPr>
      <w:r>
        <w:rPr>
          <w:rFonts w:ascii="Sitka Text" w:hAnsi="Sitka Text" w:cs="Sitka Text"/>
          <w:b/>
          <w:i w:val="0"/>
          <w:sz w:val="36"/>
        </w:rPr>
        <w:t>Appendix A: Test Case Standards and Guidelines</w:t>
      </w:r>
      <w:bookmarkEnd w:id="2"/>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This appendix consolidates all quality standards, templates, and design practices to ensure test case effectiveness, efficiency, and governance.</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A.1 Test Case Quality Checklist</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Effectiveness</w:t>
      </w:r>
    </w:p>
    <w:p>
      <w:pPr>
        <w:widowControl w:val="0"/>
        <w:numPr>
          <w:ilvl w:val="0"/>
          <w:numId w:val="7"/>
        </w:numPr>
        <w:autoSpaceDE w:val="0"/>
        <w:autoSpaceDN w:val="0"/>
        <w:adjustRightInd w:val="0"/>
        <w:spacing w:before="180" w:after="180"/>
        <w:rPr>
          <w:rFonts w:ascii="Courier New" w:hAnsi="Courier New" w:cs="Courier New"/>
          <w:rtl w:val="0"/>
        </w:rPr>
      </w:pPr>
      <w:r>
        <w:rPr>
          <w:rFonts w:ascii="Sitka Text" w:hAnsi="Sitka Text" w:cs="Sitka Text"/>
          <w:b w:val="0"/>
          <w:i w:val="0"/>
        </w:rPr>
        <w:t>Linked to business requirements and acceptance criteria</w:t>
      </w:r>
    </w:p>
    <w:p>
      <w:pPr>
        <w:widowControl w:val="0"/>
        <w:numPr>
          <w:ilvl w:val="0"/>
          <w:numId w:val="7"/>
        </w:numPr>
        <w:autoSpaceDE w:val="0"/>
        <w:autoSpaceDN w:val="0"/>
        <w:adjustRightInd w:val="0"/>
        <w:spacing w:before="180" w:after="180"/>
        <w:rPr>
          <w:rFonts w:ascii="Courier New" w:hAnsi="Courier New" w:cs="Courier New"/>
        </w:rPr>
      </w:pPr>
      <w:r>
        <w:rPr>
          <w:rFonts w:ascii="Sitka Text" w:hAnsi="Sitka Text" w:cs="Sitka Text"/>
          <w:b w:val="0"/>
          <w:i w:val="0"/>
        </w:rPr>
        <w:t>Clearly defined preconditions and postconditions</w:t>
      </w:r>
    </w:p>
    <w:p>
      <w:pPr>
        <w:widowControl w:val="0"/>
        <w:numPr>
          <w:ilvl w:val="0"/>
          <w:numId w:val="7"/>
        </w:numPr>
        <w:autoSpaceDE w:val="0"/>
        <w:autoSpaceDN w:val="0"/>
        <w:adjustRightInd w:val="0"/>
        <w:spacing w:before="180" w:after="180"/>
        <w:rPr>
          <w:rFonts w:ascii="Courier New" w:hAnsi="Courier New" w:cs="Courier New"/>
        </w:rPr>
      </w:pPr>
      <w:r>
        <w:rPr>
          <w:rFonts w:ascii="Sitka Text" w:hAnsi="Sitka Text" w:cs="Sitka Text"/>
          <w:b w:val="0"/>
          <w:i w:val="0"/>
        </w:rPr>
        <w:t>Step-by-step actions with accurate input data</w:t>
      </w:r>
    </w:p>
    <w:p>
      <w:pPr>
        <w:widowControl w:val="0"/>
        <w:numPr>
          <w:ilvl w:val="0"/>
          <w:numId w:val="7"/>
        </w:numPr>
        <w:autoSpaceDE w:val="0"/>
        <w:autoSpaceDN w:val="0"/>
        <w:adjustRightInd w:val="0"/>
        <w:spacing w:before="180" w:after="180"/>
        <w:rPr>
          <w:rFonts w:ascii="Courier New" w:hAnsi="Courier New" w:cs="Courier New"/>
        </w:rPr>
      </w:pPr>
      <w:r>
        <w:rPr>
          <w:rFonts w:ascii="Sitka Text" w:hAnsi="Sitka Text" w:cs="Sitka Text"/>
          <w:b w:val="0"/>
          <w:i w:val="0"/>
        </w:rPr>
        <w:t>Positive, negative, and edge case scenarios included</w:t>
      </w:r>
    </w:p>
    <w:p>
      <w:pPr>
        <w:widowControl w:val="0"/>
        <w:numPr>
          <w:ilvl w:val="0"/>
          <w:numId w:val="7"/>
        </w:numPr>
        <w:autoSpaceDE w:val="0"/>
        <w:autoSpaceDN w:val="0"/>
        <w:adjustRightInd w:val="0"/>
        <w:spacing w:before="180" w:after="180"/>
        <w:rPr>
          <w:rFonts w:ascii="Courier New" w:hAnsi="Courier New" w:cs="Courier New"/>
        </w:rPr>
      </w:pPr>
      <w:r>
        <w:rPr>
          <w:rFonts w:ascii="Sitka Text" w:hAnsi="Sitka Text" w:cs="Sitka Text"/>
          <w:b w:val="0"/>
          <w:i w:val="0"/>
        </w:rPr>
        <w:t>Downstream system impacts and dependencies considered</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Efficiency</w:t>
      </w:r>
    </w:p>
    <w:p>
      <w:pPr>
        <w:widowControl w:val="0"/>
        <w:numPr>
          <w:ilvl w:val="0"/>
          <w:numId w:val="8"/>
        </w:numPr>
        <w:autoSpaceDE w:val="0"/>
        <w:autoSpaceDN w:val="0"/>
        <w:adjustRightInd w:val="0"/>
        <w:spacing w:before="180" w:after="180"/>
        <w:rPr>
          <w:rFonts w:ascii="Courier New" w:hAnsi="Courier New" w:cs="Courier New"/>
          <w:rtl w:val="0"/>
        </w:rPr>
      </w:pPr>
      <w:r>
        <w:rPr>
          <w:rFonts w:ascii="Sitka Text" w:hAnsi="Sitka Text" w:cs="Sitka Text"/>
          <w:b w:val="0"/>
          <w:i w:val="0"/>
        </w:rPr>
        <w:t>Reusable structure and modular format</w:t>
      </w:r>
    </w:p>
    <w:p>
      <w:pPr>
        <w:widowControl w:val="0"/>
        <w:numPr>
          <w:ilvl w:val="0"/>
          <w:numId w:val="8"/>
        </w:numPr>
        <w:autoSpaceDE w:val="0"/>
        <w:autoSpaceDN w:val="0"/>
        <w:adjustRightInd w:val="0"/>
        <w:spacing w:before="180" w:after="180"/>
        <w:rPr>
          <w:rFonts w:ascii="Courier New" w:hAnsi="Courier New" w:cs="Courier New"/>
        </w:rPr>
      </w:pPr>
      <w:r>
        <w:rPr>
          <w:rFonts w:ascii="Sitka Text" w:hAnsi="Sitka Text" w:cs="Sitka Text"/>
          <w:b w:val="0"/>
          <w:i w:val="0"/>
        </w:rPr>
        <w:t>Consistent test data across environments</w:t>
      </w:r>
    </w:p>
    <w:p>
      <w:pPr>
        <w:widowControl w:val="0"/>
        <w:numPr>
          <w:ilvl w:val="0"/>
          <w:numId w:val="8"/>
        </w:numPr>
        <w:autoSpaceDE w:val="0"/>
        <w:autoSpaceDN w:val="0"/>
        <w:adjustRightInd w:val="0"/>
        <w:spacing w:before="180" w:after="180"/>
        <w:rPr>
          <w:rFonts w:ascii="Courier New" w:hAnsi="Courier New" w:cs="Courier New"/>
        </w:rPr>
      </w:pPr>
      <w:r>
        <w:rPr>
          <w:rFonts w:ascii="Sitka Text" w:hAnsi="Sitka Text" w:cs="Sitka Text"/>
          <w:b w:val="0"/>
          <w:i w:val="0"/>
        </w:rPr>
        <w:t>Automation-enabled wherever applicable</w:t>
      </w:r>
    </w:p>
    <w:p>
      <w:pPr>
        <w:widowControl w:val="0"/>
        <w:numPr>
          <w:ilvl w:val="0"/>
          <w:numId w:val="8"/>
        </w:numPr>
        <w:autoSpaceDE w:val="0"/>
        <w:autoSpaceDN w:val="0"/>
        <w:adjustRightInd w:val="0"/>
        <w:spacing w:before="180" w:after="180"/>
        <w:rPr>
          <w:rFonts w:ascii="Courier New" w:hAnsi="Courier New" w:cs="Courier New"/>
        </w:rPr>
      </w:pPr>
      <w:r>
        <w:rPr>
          <w:rFonts w:ascii="Sitka Text" w:hAnsi="Sitka Text" w:cs="Sitka Text"/>
          <w:b w:val="0"/>
          <w:i w:val="0"/>
        </w:rPr>
        <w:t>Peer-reviewed before execution to reduce rework</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Governance</w:t>
      </w:r>
    </w:p>
    <w:p>
      <w:pPr>
        <w:widowControl w:val="0"/>
        <w:numPr>
          <w:ilvl w:val="0"/>
          <w:numId w:val="9"/>
        </w:numPr>
        <w:autoSpaceDE w:val="0"/>
        <w:autoSpaceDN w:val="0"/>
        <w:adjustRightInd w:val="0"/>
        <w:spacing w:before="180" w:after="180"/>
        <w:rPr>
          <w:rFonts w:ascii="Courier New" w:hAnsi="Courier New" w:cs="Courier New"/>
          <w:rtl w:val="0"/>
        </w:rPr>
      </w:pPr>
      <w:r>
        <w:rPr>
          <w:rFonts w:ascii="Sitka Text" w:hAnsi="Sitka Text" w:cs="Sitka Text"/>
          <w:b w:val="0"/>
          <w:i w:val="0"/>
        </w:rPr>
        <w:t>Peer review documented and approved in JIRA</w:t>
      </w:r>
    </w:p>
    <w:p>
      <w:pPr>
        <w:widowControl w:val="0"/>
        <w:numPr>
          <w:ilvl w:val="0"/>
          <w:numId w:val="9"/>
        </w:numPr>
        <w:autoSpaceDE w:val="0"/>
        <w:autoSpaceDN w:val="0"/>
        <w:adjustRightInd w:val="0"/>
        <w:spacing w:before="180" w:after="180"/>
        <w:rPr>
          <w:rFonts w:ascii="Courier New" w:hAnsi="Courier New" w:cs="Courier New"/>
        </w:rPr>
      </w:pPr>
      <w:r>
        <w:rPr>
          <w:rFonts w:ascii="Sitka Text" w:hAnsi="Sitka Text" w:cs="Sitka Text"/>
          <w:b w:val="0"/>
          <w:i w:val="0"/>
        </w:rPr>
        <w:t>Traceability to requirements, stories, and test results maintained</w:t>
      </w:r>
    </w:p>
    <w:p>
      <w:pPr>
        <w:widowControl w:val="0"/>
        <w:numPr>
          <w:ilvl w:val="0"/>
          <w:numId w:val="9"/>
        </w:numPr>
        <w:autoSpaceDE w:val="0"/>
        <w:autoSpaceDN w:val="0"/>
        <w:adjustRightInd w:val="0"/>
        <w:spacing w:before="180" w:after="180"/>
        <w:rPr>
          <w:rFonts w:ascii="Courier New" w:hAnsi="Courier New" w:cs="Courier New"/>
        </w:rPr>
      </w:pPr>
      <w:r>
        <w:rPr>
          <w:rFonts w:ascii="Sitka Text" w:hAnsi="Sitka Text" w:cs="Sitka Text"/>
          <w:b w:val="0"/>
          <w:i w:val="0"/>
        </w:rPr>
        <w:t>Execution evidence (e.g., screenshots, logs) captured and stored</w:t>
      </w:r>
    </w:p>
    <w:p>
      <w:pPr>
        <w:widowControl w:val="0"/>
        <w:numPr>
          <w:ilvl w:val="0"/>
          <w:numId w:val="9"/>
        </w:numPr>
        <w:autoSpaceDE w:val="0"/>
        <w:autoSpaceDN w:val="0"/>
        <w:adjustRightInd w:val="0"/>
        <w:spacing w:before="180" w:after="180"/>
        <w:rPr>
          <w:rFonts w:ascii="Courier New" w:hAnsi="Courier New" w:cs="Courier New"/>
        </w:rPr>
      </w:pPr>
      <w:r>
        <w:rPr>
          <w:rFonts w:ascii="Sitka Text" w:hAnsi="Sitka Text" w:cs="Sitka Text"/>
          <w:b w:val="0"/>
          <w:i w:val="0"/>
        </w:rPr>
        <w:t>Clear pass/fail status and outcome recorded</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A.2 Test Case Documentation Template</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1872"/>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Field</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Description</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Test Case ID</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Unique identifier for tracking</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Test Summary</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Brief description of the scenario being validated</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Linked Requirement</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User story or business requirement associated with the test</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Preconditions</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Conditions that must be met before executing the test</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Test Steps</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Detailed steps to perform the test</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Test Data</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Input data required for the test</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Expected Result</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Clearly defined outcome for each step</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Actual Result</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Documented result post-execution</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Pass/Fail</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Status of the test</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Evidence Location</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Location (e.g., JIRA, SharePoint) where screenshots/logs are stored</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Peer Review</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Reviewer name and date</w:t>
            </w:r>
          </w:p>
        </w:tc>
      </w:tr>
      <w:tr>
        <w:tblPrEx>
          <w:tblInd w:w="10" w:type="dxa"/>
          <w:tblBorders>
            <w:bottom w:val="none" w:sz="0" w:space="0" w:color="auto"/>
          </w:tblBorders>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Final Approval</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Test Lead sign-off</w:t>
            </w:r>
          </w:p>
        </w:tc>
      </w:tr>
    </w:tbl>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A.3 BDD (Behavior-Driven Development) Scenario Template</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Use the Gherkin format for structured, business-aligned test scenarios:</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1872"/>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Section</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Example</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Feature</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User Login</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Scenario</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Successful login with valid credentials</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Given</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User is on the login page</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When</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User enters valid credentials and clicks submit</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Then</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User is redirected to the dashboard</w:t>
            </w:r>
          </w:p>
        </w:tc>
      </w:tr>
      <w:tr>
        <w:tblPrEx>
          <w:tblInd w:w="10" w:type="dxa"/>
          <w:tblBorders>
            <w:bottom w:val="none" w:sz="0" w:space="0" w:color="auto"/>
          </w:tblBorders>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And</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Welcome message is displayed</w:t>
            </w:r>
          </w:p>
        </w:tc>
      </w:tr>
    </w:tbl>
    <w:p>
      <w:pPr>
        <w:widowControl w:val="0"/>
        <w:autoSpaceDE w:val="0"/>
        <w:autoSpaceDN w:val="0"/>
        <w:adjustRightInd w:val="0"/>
        <w:rPr>
          <w:rFonts w:ascii="Sitka Text" w:hAnsi="Courier New" w:cs="Courier New"/>
          <w:b w:val="0"/>
          <w:i w:val="0"/>
          <w:rtl w:val="0"/>
        </w:rPr>
      </w:pPr>
    </w:p>
    <w:p>
      <w:pPr>
        <w:widowControl w:val="0"/>
        <w:autoSpaceDE w:val="0"/>
        <w:autoSpaceDN w:val="0"/>
        <w:adjustRightInd w:val="0"/>
        <w:rPr>
          <w:rFonts w:ascii="Sitka Text" w:hAnsi="Sitka Text" w:cs="Sitka Text"/>
          <w:b w:val="0"/>
          <w:i w:val="0"/>
        </w:rPr>
      </w:pPr>
    </w:p>
    <w:p>
      <w:pPr>
        <w:widowControl w:val="0"/>
        <w:autoSpaceDE w:val="0"/>
        <w:autoSpaceDN w:val="0"/>
        <w:adjustRightInd w:val="0"/>
        <w:rPr>
          <w:rFonts w:ascii="Sitka Text" w:hAnsi="Sitka Text" w:cs="Sitka Text"/>
          <w:b w:val="0"/>
          <w:i w:val="0"/>
        </w:rPr>
      </w:pP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 xml:space="preserve">A.4 </w:t>
      </w:r>
      <w:r>
        <w:rPr>
          <w:rFonts w:ascii="Courier New" w:hAnsi="Courier New" w:cs="Courier New"/>
          <w:b/>
          <w:sz w:val="28"/>
        </w:rPr>
        <w:t>Sample Test Case Using BDD Within the Template</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9360"/>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Field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Description</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b/>
              </w:rPr>
              <w:t>Test Case ID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TC-BDD-001</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b/>
              </w:rPr>
              <w:t>Test Summary</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Validate successful login using valid credentials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b/>
              </w:rPr>
              <w:t>Linked Requirement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REQ-AUTH-001</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b/>
              </w:rPr>
              <w:t>Preconditions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User is registered with valid credentials and navigates to the login page</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b/>
              </w:rPr>
              <w:t>Test Steps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b/>
              </w:rPr>
              <w:t>BDD Scenario (Gherkin Format):Feature</w:t>
            </w:r>
            <w:r>
              <w:rPr>
                <w:rFonts w:ascii="Courier New" w:hAnsi="Courier New" w:cs="Courier New"/>
              </w:rPr>
              <w:t>: User Login Validation</w:t>
            </w:r>
            <w:r>
              <w:rPr>
                <w:rFonts w:ascii="Courier New" w:hAnsi="Courier New" w:cs="Courier New"/>
                <w:b/>
              </w:rPr>
              <w:t>Scenario</w:t>
            </w:r>
            <w:r>
              <w:rPr>
                <w:rFonts w:ascii="Courier New" w:hAnsi="Courier New" w:cs="Courier New"/>
              </w:rPr>
              <w:t>: Successful login with valid credentials</w:t>
            </w:r>
            <w:r>
              <w:rPr>
                <w:rFonts w:ascii="Courier New" w:hAnsi="Courier New" w:cs="Courier New"/>
                <w:b/>
              </w:rPr>
              <w:t>Given</w:t>
            </w:r>
            <w:r>
              <w:rPr>
                <w:rFonts w:ascii="Courier New" w:hAnsi="Courier New" w:cs="Courier New"/>
              </w:rPr>
              <w:t xml:space="preserve"> the user is on the login page</w:t>
            </w:r>
            <w:r>
              <w:rPr>
                <w:rFonts w:ascii="Courier New" w:hAnsi="Courier New" w:cs="Courier New"/>
                <w:b/>
              </w:rPr>
              <w:t>When</w:t>
            </w:r>
            <w:r>
              <w:rPr>
                <w:rFonts w:ascii="Courier New" w:hAnsi="Courier New" w:cs="Courier New"/>
              </w:rPr>
              <w:t xml:space="preserve"> the user enters valid username and password</w:t>
            </w:r>
            <w:r>
              <w:rPr>
                <w:rFonts w:ascii="Courier New" w:hAnsi="Courier New" w:cs="Courier New"/>
                <w:b/>
              </w:rPr>
              <w:t>Then</w:t>
            </w:r>
            <w:r>
              <w:rPr>
                <w:rFonts w:ascii="Courier New" w:hAnsi="Courier New" w:cs="Courier New"/>
              </w:rPr>
              <w:t xml:space="preserve"> the user should be redirected to the dashboard</w:t>
            </w:r>
            <w:r>
              <w:rPr>
                <w:rFonts w:ascii="Courier New" w:hAnsi="Courier New" w:cs="Courier New"/>
                <w:b/>
              </w:rPr>
              <w:t>And</w:t>
            </w:r>
            <w:r>
              <w:rPr>
                <w:rFonts w:ascii="Courier New" w:hAnsi="Courier New" w:cs="Courier New"/>
              </w:rPr>
              <w:t xml:space="preserve"> the welcome message should be displayed</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b/>
              </w:rPr>
              <w:t>Test Data</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 xml:space="preserve">Username: </w:t>
            </w:r>
            <w:r>
              <w:rPr>
                <w:rFonts w:ascii="Courier New" w:hAnsi="Courier New" w:cs="Courier New"/>
              </w:rPr>
              <w:t>john.doe</w:t>
            </w:r>
            <w:r>
              <w:rPr>
                <w:rFonts w:ascii="Courier New" w:hAnsi="Courier New" w:cs="Courier New"/>
              </w:rPr>
              <w:t xml:space="preserve"> Password: </w:t>
            </w:r>
            <w:r>
              <w:rPr>
                <w:rFonts w:ascii="Courier New" w:hAnsi="Courier New" w:cs="Courier New"/>
              </w:rPr>
              <w:t>Welcome@123</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b/>
              </w:rPr>
              <w:t>Expected Result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Dashboard loads successfully and displays the personalized welcome message</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b/>
              </w:rPr>
              <w:t>Actual Result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Dashboard displayed with "Welcome, John!" message</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b/>
              </w:rPr>
              <w:t>Pass/Fail</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Pass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b/>
              </w:rPr>
              <w:t>Evidence Location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JIRA &gt; TC-BDD-001 &gt; Attachments &gt; Screenshot_LoginSuccess.png</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b/>
              </w:rPr>
              <w:t>Peer Review</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Reviewed by A. Sharma on 11-Apr-2025</w:t>
            </w:r>
          </w:p>
        </w:tc>
      </w:tr>
      <w:tr>
        <w:tblPrEx>
          <w:tblInd w:w="10" w:type="dxa"/>
          <w:tblBorders>
            <w:bottom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b/>
              </w:rPr>
              <w:t>Final Approval</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Approved by V. Patel</w:t>
            </w:r>
          </w:p>
        </w:tc>
      </w:tr>
    </w:tbl>
    <w:p>
      <w:pPr>
        <w:widowControl w:val="0"/>
        <w:autoSpaceDE w:val="0"/>
        <w:autoSpaceDN w:val="0"/>
        <w:adjustRightInd w:val="0"/>
        <w:rPr>
          <w:rFonts w:ascii="Courier New" w:hAnsi="Courier New" w:cs="Courier New"/>
          <w:rtl w:val="0"/>
        </w:rPr>
      </w:pPr>
    </w:p>
    <w:p>
      <w:pPr>
        <w:widowControl w:val="0"/>
        <w:autoSpaceDE w:val="0"/>
        <w:autoSpaceDN w:val="0"/>
        <w:adjustRightInd w:val="0"/>
        <w:spacing w:before="180" w:after="180"/>
        <w:rPr>
          <w:rFonts w:ascii="Courier New" w:hAnsi="Courier New" w:cs="Courier New"/>
          <w:b/>
          <w:sz w:val="28"/>
          <w:rtl w:val="0"/>
        </w:rPr>
      </w:pPr>
    </w:p>
    <w:p>
      <w:pPr>
        <w:widowControl w:val="0"/>
        <w:autoSpaceDE w:val="0"/>
        <w:autoSpaceDN w:val="0"/>
        <w:adjustRightInd w:val="0"/>
        <w:spacing w:before="180" w:after="180"/>
        <w:jc w:val="left"/>
        <w:rPr>
          <w:rFonts w:ascii="Courier New" w:hAnsi="Courier New" w:cs="Courier New"/>
          <w:b/>
          <w:sz w:val="28"/>
          <w:rtl w:val="0"/>
        </w:rPr>
      </w:pPr>
      <w:bookmarkStart w:id="3" w:name="AppendixB"/>
    </w:p>
    <w:p>
      <w:pPr>
        <w:widowControl w:val="0"/>
        <w:autoSpaceDE w:val="0"/>
        <w:autoSpaceDN w:val="0"/>
        <w:adjustRightInd w:val="0"/>
        <w:spacing w:before="240" w:after="180"/>
        <w:rPr>
          <w:rFonts w:ascii="Courier New" w:hAnsi="Courier New" w:cs="Courier New"/>
          <w:rtl w:val="0"/>
        </w:rPr>
      </w:pPr>
      <w:r>
        <w:rPr>
          <w:rFonts w:ascii="Sitka Text" w:hAnsi="Sitka Text" w:cs="Sitka Text"/>
          <w:b/>
          <w:i w:val="0"/>
          <w:sz w:val="36"/>
        </w:rPr>
        <w:t>Appendix B: Peer Review Guidelines</w:t>
      </w:r>
      <w:bookmarkEnd w:id="3"/>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 xml:space="preserve">Reviewers must validate each test case against the checklist in </w:t>
      </w:r>
      <w:r>
        <w:rPr>
          <w:rFonts w:ascii="Sitka Text" w:hAnsi="Sitka Text" w:cs="Sitka Text"/>
          <w:b/>
          <w:i w:val="0"/>
        </w:rPr>
        <w:t>Appendix A</w:t>
      </w:r>
      <w:r>
        <w:rPr>
          <w:rFonts w:ascii="Sitka Text" w:hAnsi="Sitka Text" w:cs="Sitka Text"/>
          <w:b w:val="0"/>
          <w:i w:val="0"/>
        </w:rPr>
        <w:t>.</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Review Criteria</w:t>
      </w:r>
    </w:p>
    <w:p>
      <w:pPr>
        <w:widowControl w:val="0"/>
        <w:numPr>
          <w:ilvl w:val="0"/>
          <w:numId w:val="10"/>
        </w:numPr>
        <w:autoSpaceDE w:val="0"/>
        <w:autoSpaceDN w:val="0"/>
        <w:adjustRightInd w:val="0"/>
        <w:spacing w:before="180" w:after="180"/>
        <w:rPr>
          <w:rFonts w:ascii="Courier New" w:hAnsi="Courier New" w:cs="Courier New"/>
          <w:rtl w:val="0"/>
        </w:rPr>
      </w:pPr>
      <w:r>
        <w:rPr>
          <w:rFonts w:ascii="Sitka Text" w:hAnsi="Sitka Text" w:cs="Sitka Text"/>
          <w:b w:val="0"/>
          <w:i w:val="0"/>
        </w:rPr>
        <w:t>Business alignment and traceability</w:t>
      </w:r>
    </w:p>
    <w:p>
      <w:pPr>
        <w:widowControl w:val="0"/>
        <w:numPr>
          <w:ilvl w:val="0"/>
          <w:numId w:val="10"/>
        </w:numPr>
        <w:autoSpaceDE w:val="0"/>
        <w:autoSpaceDN w:val="0"/>
        <w:adjustRightInd w:val="0"/>
        <w:spacing w:before="180" w:after="180"/>
        <w:rPr>
          <w:rFonts w:ascii="Courier New" w:hAnsi="Courier New" w:cs="Courier New"/>
        </w:rPr>
      </w:pPr>
      <w:r>
        <w:rPr>
          <w:rFonts w:ascii="Sitka Text" w:hAnsi="Sitka Text" w:cs="Sitka Text"/>
          <w:b w:val="0"/>
          <w:i w:val="0"/>
        </w:rPr>
        <w:t>Completeness across scenario types (positive/negative/edge)</w:t>
      </w:r>
    </w:p>
    <w:p>
      <w:pPr>
        <w:widowControl w:val="0"/>
        <w:numPr>
          <w:ilvl w:val="0"/>
          <w:numId w:val="10"/>
        </w:numPr>
        <w:autoSpaceDE w:val="0"/>
        <w:autoSpaceDN w:val="0"/>
        <w:adjustRightInd w:val="0"/>
        <w:spacing w:before="180" w:after="180"/>
        <w:rPr>
          <w:rFonts w:ascii="Courier New" w:hAnsi="Courier New" w:cs="Courier New"/>
        </w:rPr>
      </w:pPr>
      <w:r>
        <w:rPr>
          <w:rFonts w:ascii="Sitka Text" w:hAnsi="Sitka Text" w:cs="Sitka Text"/>
          <w:b w:val="0"/>
          <w:i w:val="0"/>
        </w:rPr>
        <w:t>Downstream impact inclusion</w:t>
      </w:r>
    </w:p>
    <w:p>
      <w:pPr>
        <w:widowControl w:val="0"/>
        <w:numPr>
          <w:ilvl w:val="0"/>
          <w:numId w:val="10"/>
        </w:numPr>
        <w:autoSpaceDE w:val="0"/>
        <w:autoSpaceDN w:val="0"/>
        <w:adjustRightInd w:val="0"/>
        <w:spacing w:before="180" w:after="180"/>
        <w:rPr>
          <w:rFonts w:ascii="Courier New" w:hAnsi="Courier New" w:cs="Courier New"/>
        </w:rPr>
      </w:pPr>
      <w:r>
        <w:rPr>
          <w:rFonts w:ascii="Sitka Text" w:hAnsi="Sitka Text" w:cs="Sitka Text"/>
          <w:b w:val="0"/>
          <w:i w:val="0"/>
        </w:rPr>
        <w:t>Accuracy of test data and steps</w:t>
      </w:r>
    </w:p>
    <w:p>
      <w:pPr>
        <w:widowControl w:val="0"/>
        <w:numPr>
          <w:ilvl w:val="0"/>
          <w:numId w:val="10"/>
        </w:numPr>
        <w:autoSpaceDE w:val="0"/>
        <w:autoSpaceDN w:val="0"/>
        <w:adjustRightInd w:val="0"/>
        <w:spacing w:before="180" w:after="180"/>
        <w:rPr>
          <w:rFonts w:ascii="Courier New" w:hAnsi="Courier New" w:cs="Courier New"/>
        </w:rPr>
      </w:pPr>
      <w:r>
        <w:rPr>
          <w:rFonts w:ascii="Sitka Text" w:hAnsi="Sitka Text" w:cs="Sitka Text"/>
          <w:b w:val="0"/>
          <w:i w:val="0"/>
        </w:rPr>
        <w:t>Clear expected and actual results</w:t>
      </w:r>
    </w:p>
    <w:p>
      <w:pPr>
        <w:widowControl w:val="0"/>
        <w:numPr>
          <w:ilvl w:val="0"/>
          <w:numId w:val="10"/>
        </w:numPr>
        <w:autoSpaceDE w:val="0"/>
        <w:autoSpaceDN w:val="0"/>
        <w:adjustRightInd w:val="0"/>
        <w:spacing w:before="180" w:after="180"/>
        <w:rPr>
          <w:rFonts w:ascii="Courier New" w:hAnsi="Courier New" w:cs="Courier New"/>
        </w:rPr>
      </w:pPr>
      <w:r>
        <w:rPr>
          <w:rFonts w:ascii="Sitka Text" w:hAnsi="Sitka Text" w:cs="Sitka Text"/>
          <w:b w:val="0"/>
          <w:i w:val="0"/>
        </w:rPr>
        <w:t>Presence of evidence and review history</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Review Steps</w:t>
      </w:r>
    </w:p>
    <w:p>
      <w:pPr>
        <w:widowControl w:val="0"/>
        <w:numPr>
          <w:ilvl w:val="0"/>
          <w:numId w:val="11"/>
        </w:numPr>
        <w:autoSpaceDE w:val="0"/>
        <w:autoSpaceDN w:val="0"/>
        <w:adjustRightInd w:val="0"/>
        <w:spacing w:before="180" w:after="180"/>
        <w:rPr>
          <w:rFonts w:ascii="Courier New" w:hAnsi="Courier New" w:cs="Courier New"/>
          <w:rtl w:val="0"/>
        </w:rPr>
      </w:pPr>
      <w:r>
        <w:rPr>
          <w:rFonts w:ascii="Sitka Text" w:hAnsi="Sitka Text" w:cs="Sitka Text"/>
          <w:b w:val="0"/>
          <w:i w:val="0"/>
        </w:rPr>
        <w:t>Open the test case in JIRA.</w:t>
      </w:r>
    </w:p>
    <w:p>
      <w:pPr>
        <w:widowControl w:val="0"/>
        <w:numPr>
          <w:ilvl w:val="0"/>
          <w:numId w:val="11"/>
        </w:numPr>
        <w:autoSpaceDE w:val="0"/>
        <w:autoSpaceDN w:val="0"/>
        <w:adjustRightInd w:val="0"/>
        <w:spacing w:before="180" w:after="180"/>
        <w:rPr>
          <w:rFonts w:ascii="Courier New" w:hAnsi="Courier New" w:cs="Courier New"/>
        </w:rPr>
      </w:pPr>
      <w:r>
        <w:rPr>
          <w:rFonts w:ascii="Sitka Text" w:hAnsi="Sitka Text" w:cs="Sitka Text"/>
          <w:b w:val="0"/>
          <w:i w:val="0"/>
        </w:rPr>
        <w:t>Review against the checklist in Appendix A.</w:t>
      </w:r>
    </w:p>
    <w:p>
      <w:pPr>
        <w:widowControl w:val="0"/>
        <w:numPr>
          <w:ilvl w:val="0"/>
          <w:numId w:val="11"/>
        </w:numPr>
        <w:autoSpaceDE w:val="0"/>
        <w:autoSpaceDN w:val="0"/>
        <w:adjustRightInd w:val="0"/>
        <w:spacing w:before="180" w:after="180"/>
        <w:rPr>
          <w:rFonts w:ascii="Courier New" w:hAnsi="Courier New" w:cs="Courier New"/>
        </w:rPr>
      </w:pPr>
      <w:r>
        <w:rPr>
          <w:rFonts w:ascii="Sitka Text" w:hAnsi="Sitka Text" w:cs="Sitka Text"/>
          <w:b w:val="0"/>
          <w:i w:val="0"/>
        </w:rPr>
        <w:t>Log feedback or required corrections.</w:t>
      </w:r>
    </w:p>
    <w:p>
      <w:pPr>
        <w:widowControl w:val="0"/>
        <w:numPr>
          <w:ilvl w:val="0"/>
          <w:numId w:val="11"/>
        </w:numPr>
        <w:autoSpaceDE w:val="0"/>
        <w:autoSpaceDN w:val="0"/>
        <w:adjustRightInd w:val="0"/>
        <w:spacing w:before="180" w:after="180"/>
        <w:rPr>
          <w:rFonts w:ascii="Courier New" w:hAnsi="Courier New" w:cs="Courier New"/>
        </w:rPr>
      </w:pPr>
      <w:r>
        <w:rPr>
          <w:rFonts w:ascii="Sitka Text" w:hAnsi="Sitka Text" w:cs="Sitka Text"/>
          <w:b w:val="0"/>
          <w:i w:val="0"/>
        </w:rPr>
        <w:t>Confirm final approval and document reviewer name/date.</w:t>
      </w:r>
    </w:p>
    <w:p>
      <w:pPr>
        <w:widowControl w:val="0"/>
        <w:autoSpaceDE w:val="0"/>
        <w:autoSpaceDN w:val="0"/>
        <w:adjustRightInd w:val="0"/>
        <w:spacing w:before="180" w:after="180"/>
        <w:ind w:left="540" w:hanging="270"/>
        <w:jc w:val="left"/>
        <w:rPr>
          <w:rFonts w:ascii="Sitka Text" w:hAnsi="Courier New" w:cs="Courier New"/>
          <w:b w:val="0"/>
          <w:i w:val="0"/>
          <w:rtl w:val="0"/>
        </w:rPr>
      </w:pPr>
      <w:bookmarkStart w:id="4" w:name="AppendixC"/>
    </w:p>
    <w:p>
      <w:pPr>
        <w:widowControl w:val="0"/>
        <w:autoSpaceDE w:val="0"/>
        <w:autoSpaceDN w:val="0"/>
        <w:adjustRightInd w:val="0"/>
        <w:spacing w:before="240" w:after="180"/>
        <w:rPr>
          <w:rFonts w:ascii="Courier New" w:hAnsi="Courier New" w:cs="Courier New"/>
          <w:rtl w:val="0"/>
        </w:rPr>
      </w:pPr>
      <w:r>
        <w:rPr>
          <w:rFonts w:ascii="Sitka Text" w:hAnsi="Sitka Text" w:cs="Sitka Text"/>
          <w:b/>
          <w:i w:val="0"/>
          <w:sz w:val="36"/>
        </w:rPr>
        <w:t>Appendix C: Structured Training Framework</w:t>
      </w:r>
      <w:bookmarkEnd w:id="4"/>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Training Modules and Delivery</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1872"/>
        <w:gridCol w:w="1872"/>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Module</w:t>
            </w:r>
          </w:p>
        </w:tc>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Key Topics</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Delivery Mode</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Agile Testing</w:t>
            </w:r>
          </w:p>
        </w:tc>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Sprint planning, ceremonies, agile roles</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Workshops / Online</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Technical Skills</w:t>
            </w:r>
          </w:p>
        </w:tc>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Python, SQL, data analysis, dashboards</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Hands-on Labs / Self-paced</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Domain Knowledge</w:t>
            </w:r>
          </w:p>
        </w:tc>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Value stream–specific processes and workflows</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Scenario-based eLearning</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Stakeholder Management</w:t>
            </w:r>
          </w:p>
        </w:tc>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Communication, feedback, conflict resolution</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Interactive sessions</w:t>
            </w:r>
          </w:p>
        </w:tc>
      </w:tr>
      <w:tr>
        <w:tblPrEx>
          <w:tblInd w:w="10" w:type="dxa"/>
          <w:tblBorders>
            <w:bottom w:val="none" w:sz="0" w:space="0" w:color="auto"/>
          </w:tblBorders>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Testing Strategy Overview</w:t>
            </w:r>
          </w:p>
        </w:tc>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Live or recorded TCoE-led sessions on strategy and standards</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Live Webinars / Recordings</w:t>
            </w:r>
          </w:p>
        </w:tc>
      </w:tr>
    </w:tbl>
    <w:p>
      <w:pPr>
        <w:widowControl w:val="0"/>
        <w:autoSpaceDE w:val="0"/>
        <w:autoSpaceDN w:val="0"/>
        <w:adjustRightInd w:val="0"/>
        <w:spacing w:before="180" w:after="180"/>
        <w:jc w:val="left"/>
        <w:rPr>
          <w:rFonts w:ascii="Courier New" w:hAnsi="Courier New" w:cs="Courier New"/>
          <w:rtl w:val="0"/>
        </w:rPr>
      </w:pPr>
      <w:bookmarkStart w:id="5" w:name="AppendixD"/>
    </w:p>
    <w:p>
      <w:pPr>
        <w:widowControl w:val="0"/>
        <w:autoSpaceDE w:val="0"/>
        <w:autoSpaceDN w:val="0"/>
        <w:adjustRightInd w:val="0"/>
        <w:spacing w:before="240" w:after="180"/>
        <w:rPr>
          <w:rFonts w:ascii="Courier New" w:hAnsi="Courier New" w:cs="Courier New"/>
          <w:rtl w:val="0"/>
        </w:rPr>
      </w:pPr>
      <w:r>
        <w:rPr>
          <w:rFonts w:ascii="Sitka Text" w:hAnsi="Sitka Text" w:cs="Sitka Text"/>
          <w:b/>
          <w:i w:val="0"/>
          <w:sz w:val="36"/>
        </w:rPr>
        <w:t>Appendix D: Effort Estimation Guidelines</w:t>
      </w:r>
      <w:bookmarkEnd w:id="5"/>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Effort estimation is standardized to ensure planning accuracy and transparency.</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Effort Classification</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1872"/>
        <w:gridCol w:w="2808"/>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Complexity</w:t>
            </w:r>
          </w:p>
        </w:tc>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Definition</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Estimated Range</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Low</w:t>
            </w:r>
          </w:p>
        </w:tc>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Simple logic, minimal dependencies</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1–3 hours</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Medium</w:t>
            </w:r>
          </w:p>
        </w:tc>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Moderate complexity and coverage</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4–8 hours</w:t>
            </w:r>
          </w:p>
        </w:tc>
      </w:tr>
      <w:tr>
        <w:tblPrEx>
          <w:tblInd w:w="10" w:type="dxa"/>
          <w:tblBorders>
            <w:bottom w:val="none" w:sz="0" w:space="0" w:color="auto"/>
          </w:tblBorders>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High</w:t>
            </w:r>
          </w:p>
        </w:tc>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Complex logic, high test volume</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8+ hours</w:t>
            </w:r>
          </w:p>
        </w:tc>
      </w:tr>
    </w:tbl>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Estimation Approach</w:t>
      </w:r>
    </w:p>
    <w:p>
      <w:pPr>
        <w:widowControl w:val="0"/>
        <w:numPr>
          <w:ilvl w:val="0"/>
          <w:numId w:val="12"/>
        </w:numPr>
        <w:autoSpaceDE w:val="0"/>
        <w:autoSpaceDN w:val="0"/>
        <w:adjustRightInd w:val="0"/>
        <w:spacing w:before="180" w:after="180"/>
        <w:rPr>
          <w:rFonts w:ascii="Courier New" w:hAnsi="Courier New" w:cs="Courier New"/>
          <w:rtl w:val="0"/>
        </w:rPr>
      </w:pPr>
      <w:r>
        <w:rPr>
          <w:rFonts w:ascii="Sitka Text" w:hAnsi="Sitka Text" w:cs="Sitka Text"/>
          <w:b w:val="0"/>
          <w:i w:val="0"/>
        </w:rPr>
        <w:t>Estimate effort per requirement.</w:t>
      </w:r>
    </w:p>
    <w:p>
      <w:pPr>
        <w:widowControl w:val="0"/>
        <w:numPr>
          <w:ilvl w:val="0"/>
          <w:numId w:val="12"/>
        </w:numPr>
        <w:autoSpaceDE w:val="0"/>
        <w:autoSpaceDN w:val="0"/>
        <w:adjustRightInd w:val="0"/>
        <w:spacing w:before="180" w:after="180"/>
        <w:rPr>
          <w:rFonts w:ascii="Courier New" w:hAnsi="Courier New" w:cs="Courier New"/>
        </w:rPr>
      </w:pPr>
      <w:r>
        <w:rPr>
          <w:rFonts w:ascii="Sitka Text" w:hAnsi="Sitka Text" w:cs="Sitka Text"/>
          <w:b w:val="0"/>
          <w:i w:val="0"/>
        </w:rPr>
        <w:t>Document effort at story level in JIRA.</w:t>
      </w:r>
    </w:p>
    <w:p>
      <w:pPr>
        <w:widowControl w:val="0"/>
        <w:numPr>
          <w:ilvl w:val="0"/>
          <w:numId w:val="12"/>
        </w:numPr>
        <w:autoSpaceDE w:val="0"/>
        <w:autoSpaceDN w:val="0"/>
        <w:adjustRightInd w:val="0"/>
        <w:spacing w:before="180" w:after="180"/>
        <w:rPr>
          <w:rFonts w:ascii="Courier New" w:hAnsi="Courier New" w:cs="Courier New"/>
        </w:rPr>
      </w:pPr>
      <w:r>
        <w:rPr>
          <w:rFonts w:ascii="Sitka Text" w:hAnsi="Sitka Text" w:cs="Sitka Text"/>
          <w:b w:val="0"/>
          <w:i w:val="0"/>
        </w:rPr>
        <w:t>Review estimates regularly as requirements evolve.</w:t>
      </w:r>
    </w:p>
    <w:p>
      <w:pPr>
        <w:widowControl w:val="0"/>
        <w:autoSpaceDE w:val="0"/>
        <w:autoSpaceDN w:val="0"/>
        <w:adjustRightInd w:val="0"/>
        <w:spacing w:before="180" w:after="180"/>
        <w:ind w:left="540" w:hanging="270"/>
        <w:jc w:val="left"/>
        <w:rPr>
          <w:rFonts w:ascii="Sitka Text" w:hAnsi="Courier New" w:cs="Courier New"/>
          <w:b w:val="0"/>
          <w:i w:val="0"/>
          <w:rtl w:val="0"/>
        </w:rPr>
      </w:pPr>
      <w:bookmarkStart w:id="6" w:name="AppendixE"/>
    </w:p>
    <w:p>
      <w:pPr>
        <w:widowControl w:val="0"/>
        <w:autoSpaceDE w:val="0"/>
        <w:autoSpaceDN w:val="0"/>
        <w:adjustRightInd w:val="0"/>
        <w:spacing w:before="240" w:after="180"/>
        <w:rPr>
          <w:rFonts w:ascii="Courier New" w:hAnsi="Courier New" w:cs="Courier New"/>
          <w:rtl w:val="0"/>
        </w:rPr>
      </w:pPr>
      <w:r>
        <w:rPr>
          <w:rFonts w:ascii="Sitka Text" w:hAnsi="Sitka Text" w:cs="Sitka Text"/>
          <w:b/>
          <w:i w:val="0"/>
          <w:sz w:val="36"/>
        </w:rPr>
        <w:t>Appendix E: Test Automation Reference</w:t>
      </w:r>
      <w:bookmarkEnd w:id="6"/>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This appendix outlines automation focus areas and provides access to relevant resources.</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Test Automation Categories</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1872"/>
        <w:gridCol w:w="2808"/>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Category</w:t>
            </w:r>
          </w:p>
        </w:tc>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Description</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Primary Tools</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Regression Testing</w:t>
            </w:r>
          </w:p>
        </w:tc>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Automated re-validation of stable features</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DataGuard, RAFT</w:t>
            </w:r>
          </w:p>
        </w:tc>
      </w:tr>
      <w:tr>
        <w:tblPrEx>
          <w:tblInd w:w="10" w:type="dxa"/>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Scenario-Based Validation</w:t>
            </w:r>
          </w:p>
        </w:tc>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Business logic checks using data comparisons and rules</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BDD with Gherkin, BigQuery</w:t>
            </w:r>
          </w:p>
        </w:tc>
      </w:tr>
      <w:tr>
        <w:tblPrEx>
          <w:tblInd w:w="10" w:type="dxa"/>
          <w:tblBorders>
            <w:bottom w:val="none" w:sz="0" w:space="0" w:color="auto"/>
          </w:tblBorders>
          <w:tblCellMar>
            <w:top w:w="0" w:type="dxa"/>
            <w:left w:w="0" w:type="dxa"/>
            <w:bottom w:w="0" w:type="dxa"/>
            <w:right w:w="0" w:type="dxa"/>
          </w:tblCellMar>
        </w:tblPrEx>
        <w:tc>
          <w:tcPr>
            <w:tcW w:w="1872"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Metadata/Reference Testing</w:t>
            </w:r>
          </w:p>
        </w:tc>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Validates table structures, mappings, and reference data</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RAFT</w:t>
            </w:r>
          </w:p>
        </w:tc>
      </w:tr>
    </w:tbl>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Reference Material and Demo Access</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2808"/>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Resource</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Description</w:t>
            </w:r>
          </w:p>
        </w:tc>
      </w:tr>
      <w:tr>
        <w:tblPrEx>
          <w:tblInd w:w="10" w:type="dxa"/>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TCoE SharePoint: Automation Docs</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Implementation guides, code snippets, and patterns</w:t>
            </w:r>
          </w:p>
        </w:tc>
      </w:tr>
      <w:tr>
        <w:tblPrEx>
          <w:tblInd w:w="10" w:type="dxa"/>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Looker Dashboard Demo</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Example dashboards from DataGuard validations</w:t>
            </w:r>
          </w:p>
        </w:tc>
      </w:tr>
      <w:tr>
        <w:tblPrEx>
          <w:tblInd w:w="10" w:type="dxa"/>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GitHub Repo (Internal)</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Shared library of automated test cases</w:t>
            </w:r>
          </w:p>
        </w:tc>
      </w:tr>
      <w:tr>
        <w:tblPrEx>
          <w:tblInd w:w="10" w:type="dxa"/>
          <w:tblBorders>
            <w:bottom w:val="none" w:sz="0" w:space="0" w:color="auto"/>
          </w:tblBorders>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BDD Scenario Templates</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Gherkin templates for reuse</w:t>
            </w:r>
          </w:p>
        </w:tc>
      </w:tr>
    </w:tbl>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rPr>
        <w:t>Note: Internal links will be shared via the TCoE onboarding and strategy documentation portal.</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Sitka Text">
    <w:charset w:val="00"/>
    <w:family w:val="modern"/>
    <w:pitch w:val="variable"/>
    <w:sig w:usb0="00000000" w:usb1="00000000" w:usb2="00000000" w:usb3="00000000" w:csb0="00000001" w:csb1="00000000"/>
  </w:font>
  <w:font w:name="Candara">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autoSpaceDE w:val="0"/>
      <w:autoSpaceDN w:val="0"/>
      <w:adjustRightInd w:val="0"/>
      <w:jc w:val="center"/>
      <w:rPr>
        <w:rFonts w:ascii="Candara" w:hAnsi="Candara" w:cs="Candara"/>
      </w:rPr>
    </w:pPr>
    <w:r>
      <w:rPr>
        <w:rFonts w:ascii="Candara" w:hAnsi="Candara" w:cs="Candara"/>
      </w:rPr>
      <w:fldChar w:fldCharType="begin"/>
    </w:r>
    <w:r>
      <w:rPr>
        <w:rFonts w:ascii="Candara" w:hAnsi="Candara" w:cs="Candara"/>
      </w:rPr>
      <w:instrText>PAGE</w:instrText>
    </w:r>
    <w:r>
      <w:rPr>
        <w:rFonts w:ascii="Candara" w:hAnsi="Candara" w:cs="Candara"/>
      </w:rPr>
      <w:fldChar w:fldCharType="separate"/>
    </w:r>
    <w:r>
      <w:rPr>
        <w:rFonts w:ascii="Candara" w:hAnsi="Candara" w:cs="Candara"/>
      </w:rPr>
      <w:t>XXX</w:t>
    </w:r>
    <w:r>
      <w:rPr>
        <w:rFonts w:ascii="Candara" w:hAnsi="Candara" w:cs="Candara"/>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autoSpaceDE w:val="0"/>
      <w:autoSpaceDN w:val="0"/>
      <w:adjustRightInd w:val="0"/>
      <w:rPr>
        <w:rFonts w:ascii="Courier New" w:hAnsi="Courier New" w:cs="Courier New"/>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00000002"/>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hybridMultilevel"/>
    <w:tmpl w:val="00000004"/>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hybridMultilevel"/>
    <w:tmpl w:val="00000005"/>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6"/>
    <w:multiLevelType w:val="hybridMultilevel"/>
    <w:tmpl w:val="00000006"/>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7"/>
    <w:multiLevelType w:val="hybridMultilevel"/>
    <w:tmpl w:val="00000007"/>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hybridMultilevel"/>
    <w:tmpl w:val="00000008"/>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9"/>
    <w:multiLevelType w:val="hybridMultilevel"/>
    <w:tmpl w:val="00000009"/>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A"/>
    <w:multiLevelType w:val="hybridMultilevel"/>
    <w:tmpl w:val="0000000A"/>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0000000B"/>
    <w:multiLevelType w:val="hybridMultilevel"/>
    <w:tmpl w:val="0000000B"/>
    <w:lvl w:ilvl="0">
      <w:start w:val="1"/>
      <w:numFmt w:val="decimal"/>
      <w:lvlText w:val="%1."/>
      <w:lvlJc w:val="left"/>
      <w:pPr>
        <w:ind w:left="540" w:hanging="270"/>
      </w:pPr>
      <w:rPr>
        <w:rFonts w:ascii="Sitka Text"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0000000C"/>
    <w:multiLevelType w:val="hybridMultilevel"/>
    <w:tmpl w:val="0000000C"/>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Strategy review</dc:title>
  <dc:creator>Ravi Jain</dc:creator>
  <cp:revision>0</cp:revision>
  <dcterms:created xsi:type="dcterms:W3CDTF">2025-03-30T14:20:55Z</dcterms:created>
  <dcterms:modified xsi:type="dcterms:W3CDTF">2025-03-30T14:20:55Z</dcterms:modified>
</cp:coreProperties>
</file>