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left"/>
      </w:pPr>
      <w:r>
        <w:rPr>
          <w:b/>
          <w:bCs/>
          <w:color w:val="1B2A4A"/>
        </w:rPr>
        <w:t xml:space="preserve">Roteiro de Apresentação</w:t>
      </w:r>
    </w:p>
    <w:p>
      <w:pPr>
        <w:spacing w:after="300"/>
      </w:pPr>
      <w:r>
        <w:rPr>
          <w:b/>
          <w:bCs/>
          <w:color w:val="E8720C"/>
          <w:sz w:val="30"/>
          <w:szCs w:val="30"/>
        </w:rPr>
        <w:t xml:space="preserve">Cadeia de Suprimentos: Do Dado à Decisão</w:t>
      </w:r>
    </w:p>
    <w:p>
      <w:pPr>
        <w:spacing w:after="160" w:line="300"/>
      </w:pPr>
      <w:r>
        <w:rPr>
          <w:i w:val="false"/>
          <w:iCs w:val="false"/>
          <w:color w:val="222222"/>
          <w:sz w:val="22"/>
          <w:szCs w:val="22"/>
        </w:rPr>
        <w:t xml:space="preserve">Este documento é o seu guia de estudo, slide a slide, para apresentar o projeto com segurança e conseguir aprofundar qualquer conceito técnico se for perguntado. Ele acompanha exatamente os 19 slides do arquivo Cadeia_de_Suprimentos_Apresentacao.pptx.</w:t>
      </w:r>
    </w:p>
    <w:p>
      <w:pPr>
        <w:pStyle w:val="Heading3"/>
        <w:spacing w:after="100" w:before="260"/>
      </w:pPr>
      <w:r>
        <w:rPr>
          <w:b/>
          <w:bCs/>
          <w:color w:val="1B2A4A"/>
        </w:rPr>
        <w:t xml:space="preserve">Como usar este roteiro</w:t>
      </w:r>
    </w:p>
    <w:p>
      <w:pPr>
        <w:pStyle w:val="ListParagraph"/>
        <w:numPr>
          <w:ilvl w:val="0"/>
          <w:numId w:val="2"/>
        </w:numPr>
        <w:spacing w:after="90" w:line="290"/>
      </w:pPr>
      <w:r>
        <w:rPr>
          <w:b/>
          <w:bCs/>
          <w:color w:val="1B2A4A"/>
        </w:rPr>
        <w:t xml:space="preserve">O que dizer: </w:t>
      </w:r>
      <w:r>
        <w:rPr>
          <w:sz w:val="21"/>
          <w:szCs w:val="21"/>
        </w:rPr>
        <w:t xml:space="preserve">um roteiro de fala sugerido, em linguagem natural, para você adaptar ao seu estilo, não decore, entenda a lógica.</w:t>
      </w:r>
    </w:p>
    <w:p>
      <w:pPr>
        <w:pStyle w:val="ListParagraph"/>
        <w:numPr>
          <w:ilvl w:val="0"/>
          <w:numId w:val="2"/>
        </w:numPr>
        <w:spacing w:after="90" w:line="290"/>
      </w:pPr>
      <w:r>
        <w:rPr>
          <w:b/>
          <w:bCs/>
          <w:color w:val="1B2A4A"/>
        </w:rPr>
        <w:t xml:space="preserve">Conceitos-chave: </w:t>
      </w:r>
      <w:r>
        <w:rPr>
          <w:sz w:val="21"/>
          <w:szCs w:val="21"/>
        </w:rPr>
        <w:t xml:space="preserve">os termos técnicos daquele slide, com definição curta no texto e uma explicação mais profunda na nota de rodapé (marcada com número sobrescrito), é a sua “cola” caso precise se aprofundar na hora.</w:t>
      </w:r>
    </w:p>
    <w:p>
      <w:pPr>
        <w:pStyle w:val="ListParagraph"/>
        <w:numPr>
          <w:ilvl w:val="0"/>
          <w:numId w:val="2"/>
        </w:numPr>
        <w:spacing w:after="90" w:line="290"/>
      </w:pPr>
      <w:r>
        <w:rPr>
          <w:b/>
          <w:bCs/>
          <w:color w:val="1B2A4A"/>
        </w:rPr>
        <w:t xml:space="preserve">Exemplo prático: </w:t>
      </w:r>
      <w:r>
        <w:rPr>
          <w:sz w:val="21"/>
          <w:szCs w:val="21"/>
        </w:rPr>
        <w:t xml:space="preserve">um cálculo ou caso real, tirado diretamente dos notebooks do projeto, para você ter um número concreto sempre pronto para citar.</w:t>
      </w:r>
    </w:p>
    <w:p>
      <w:pPr>
        <w:pStyle w:val="ListParagraph"/>
        <w:numPr>
          <w:ilvl w:val="0"/>
          <w:numId w:val="2"/>
        </w:numPr>
        <w:spacing w:after="90" w:line="290"/>
      </w:pPr>
      <w:r>
        <w:rPr>
          <w:b/>
          <w:bCs/>
          <w:color w:val="1B2A4A"/>
        </w:rPr>
        <w:t xml:space="preserve">Se perguntarem: </w:t>
      </w:r>
      <w:r>
        <w:rPr>
          <w:sz w:val="21"/>
          <w:szCs w:val="21"/>
        </w:rPr>
        <w:t xml:space="preserve">as perguntas mais prováveis da audiência para aquele slide, já com a resposta pronta.</w:t>
      </w:r>
    </w:p>
    <w:p>
      <w:pPr>
        <w:spacing w:after="200" w:line="300"/>
      </w:pPr>
      <w:r>
        <w:rPr>
          <w:i w:val="false"/>
          <w:iCs w:val="false"/>
          <w:color w:val="222222"/>
          <w:sz w:val="22"/>
          <w:szCs w:val="22"/>
        </w:rPr>
        <w:t xml:space="preserve">As notas de rodapé de cada página trazem o significado técnico completo dos termos usados, incluindo fórmulas e exemplos, para consulta rápida durante o estudo.</w:t>
      </w:r>
    </w:p>
    <w:p>
      <w:pPr>
        <w:pStyle w:val="Heading3"/>
        <w:pageBreakBefore/>
        <w:spacing w:after="100" w:before="200"/>
      </w:pPr>
      <w:r>
        <w:rPr>
          <w:b/>
          <w:bCs/>
          <w:color w:val="1B2A4A"/>
        </w:rPr>
        <w:t xml:space="preserve">Sumário</w:t>
      </w:r>
    </w:p>
    <w:sdt>
      <w:sdtPr>
        <w:alias w:val="Sumário"/>
      </w:sdtPr>
      <w:sdtContent>
        <w:p>
          <w:r>
            <w:fldChar w:fldCharType="begin" w:dirty="true"/>
            <w:instrText xml:space="preserve">TOC \h \o "2-2"</w:instrText>
            <w:fldChar w:fldCharType="separate"/>
          </w:r>
        </w:p>
        <w:p>
          <w:r>
            <w:fldChar w:fldCharType="end"/>
          </w:r>
        </w:p>
      </w:sdtContent>
    </w:sdt>
    <w:p>
      <w:pPr>
        <w:pStyle w:val="Heading2"/>
        <w:pBdr>
          <w:bottom w:val="single" w:color="D9DFE7" w:sz="6" w:space="6"/>
        </w:pBdr>
        <w:spacing w:after="160" w:before="420"/>
      </w:pPr>
      <w:r>
        <w:rPr>
          <w:b/>
          <w:bCs/>
          <w:color w:val="E8720C"/>
        </w:rPr>
        <w:t xml:space="preserve">SLIDE 01  ·  </w:t>
      </w:r>
      <w:r>
        <w:rPr>
          <w:b/>
          <w:bCs/>
          <w:color w:val="1B2A4A"/>
        </w:rPr>
        <w:t xml:space="preserve">Capa, Cadeia de Suprimentos: Do Dado à Decisão</w:t>
      </w:r>
    </w:p>
    <w:p>
      <w:pPr>
        <w:spacing w:after="80" w:before="240"/>
      </w:pPr>
      <w:r>
        <w:rPr>
          <w:b/>
          <w:bCs/>
          <w:color w:val="E8720C"/>
          <w:spacing w:val="10"/>
          <w:sz w:val="21"/>
          <w:szCs w:val="21"/>
        </w:rPr>
        <w:t xml:space="preserve">O QUE DIZER</w:t>
      </w:r>
    </w:p>
    <w:p>
      <w:pPr>
        <w:spacing w:after="160" w:line="300"/>
      </w:pPr>
      <w:r>
        <w:rPr>
          <w:i w:val="false"/>
          <w:iCs w:val="false"/>
          <w:color w:val="222222"/>
          <w:sz w:val="22"/>
          <w:szCs w:val="22"/>
        </w:rPr>
        <w:t xml:space="preserve">Abra se apresentando e contextualizando o projeto em uma frase: este trabalho percorre o ciclo completo de um projeto de Ciência de Dados aplicado a Supply Chain, da exploração dos dados brutos até a construção de modelos preditivos e a geração de recomendações de negócio.</w:t>
      </w:r>
    </w:p>
    <w:p>
      <w:pPr>
        <w:spacing w:after="160" w:line="300"/>
      </w:pPr>
      <w:r>
        <w:rPr>
          <w:i w:val="false"/>
          <w:iCs w:val="false"/>
          <w:color w:val="222222"/>
          <w:sz w:val="22"/>
          <w:szCs w:val="22"/>
        </w:rPr>
        <w:t xml:space="preserve">Em seguida, ancore a audiência com os números que já estão no slide: “Analisei 49.890 pedidos de uma operação de distribuição industrial entre 2022 e 2024. O que vou mostrar é como esses dados revelaram R$ 100 milhões em risco financeiro concentrado em poucos produtos, e um plano de ação com retorno estimado de 22 vezes o investimento necessário para mitigá-lo.”</w:t>
      </w:r>
    </w:p>
    <w:p>
      <w:pPr>
        <w:spacing w:after="160" w:line="300"/>
      </w:pPr>
      <w:r>
        <w:rPr>
          <w:i w:val="false"/>
          <w:iCs w:val="false"/>
          <w:color w:val="222222"/>
          <w:sz w:val="22"/>
          <w:szCs w:val="22"/>
        </w:rPr>
        <w:t xml:space="preserve">Feche a abertura dizendo o caminho que a apresentação vai seguir: contexto do negócio, os dados, os riscos encontrados (demanda, fornecedores, estoque), os modelos preditivos, e por fim o plano de ação com o retorno financeiro.</w:t>
      </w:r>
    </w:p>
    <w:p>
      <w:pPr>
        <w:spacing w:after="80" w:before="240"/>
      </w:pPr>
      <w:r>
        <w:rPr>
          <w:b/>
          <w:bCs/>
          <w:color w:val="E8720C"/>
          <w:spacing w:val="10"/>
          <w:sz w:val="21"/>
          <w:szCs w:val="21"/>
        </w:rPr>
        <w:t xml:space="preserve">CONCEITOS-CHAVE (COLA TÉCNICA)</w:t>
      </w:r>
    </w:p>
    <w:p>
      <w:pPr>
        <w:pStyle w:val="ListParagraph"/>
        <w:numPr>
          <w:ilvl w:val="0"/>
          <w:numId w:val="2"/>
        </w:numPr>
        <w:spacing w:after="90" w:line="290"/>
      </w:pPr>
      <w:r>
        <w:rPr>
          <w:b/>
          <w:bCs/>
          <w:color w:val="1B2A4A"/>
          <w:sz w:val="21"/>
          <w:szCs w:val="21"/>
        </w:rPr>
        <w:t xml:space="preserve">Pipeline de Ciência de Dados: </w:t>
      </w:r>
      <w:r>
        <w:rPr>
          <w:sz w:val="21"/>
          <w:szCs w:val="21"/>
        </w:rPr>
        <w:t xml:space="preserve">sequência de etapas que transforma dado bruto em decisão de negócio.</w:t>
      </w:r>
      <w:r>
        <w:rPr>
          <w:rStyle w:val="FootnoteReference"/>
        </w:rPr>
        <w:footnoteReference w:id="1"/>
      </w:r>
    </w:p>
    <w:p>
      <w:pPr>
        <w:pStyle w:val="ListParagraph"/>
        <w:numPr>
          <w:ilvl w:val="0"/>
          <w:numId w:val="2"/>
        </w:numPr>
        <w:spacing w:after="90" w:line="290"/>
      </w:pPr>
      <w:r>
        <w:rPr>
          <w:b/>
          <w:bCs/>
          <w:color w:val="1B2A4A"/>
          <w:sz w:val="21"/>
          <w:szCs w:val="21"/>
        </w:rPr>
        <w:t xml:space="preserve">Dataset: </w:t>
      </w:r>
      <w:r>
        <w:rPr>
          <w:sz w:val="21"/>
          <w:szCs w:val="21"/>
        </w:rPr>
        <w:t xml:space="preserve">a base bruta tinha 49.890 registros e 31 colunas antes do tratamento; depois da criação de variáveis (features) na Etapa 2, chegou a 38 colunas.</w:t>
      </w:r>
    </w:p>
    <w:p>
      <w:pPr>
        <w:spacing w:after="80" w:before="240"/>
      </w:pPr>
      <w:r>
        <w:rPr>
          <w:b/>
          <w:bCs/>
          <w:color w:val="E8720C"/>
          <w:spacing w:val="10"/>
          <w:sz w:val="21"/>
          <w:szCs w:val="21"/>
        </w:rPr>
        <w:t xml:space="preserve">EXEMPLO PRÁTICO</w:t>
      </w:r>
    </w:p>
    <w:p>
      <w:pPr>
        <w:spacing w:after="160" w:line="300"/>
      </w:pPr>
      <w:r>
        <w:rPr>
          <w:i w:val="false"/>
          <w:iCs w:val="false"/>
          <w:color w:val="222222"/>
          <w:sz w:val="22"/>
          <w:szCs w:val="22"/>
        </w:rPr>
        <w:t xml:space="preserve">Pense no pipeline como uma linha de produção: a EDA é a matéria-prima (entender o que existe), a limpeza é o refino (corrigir e enriquecer), e cada etapa seguinte usa o que foi produzido antes, a previsão de demanda (notebook 5), por exemplo, só analisa os 5 produtos que a classificação ABC-XYZ (notebook 4) apontou como prioritários.</w:t>
      </w:r>
    </w:p>
    <w:p>
      <w:pPr>
        <w:spacing w:after="80" w:before="240"/>
      </w:pPr>
      <w:r>
        <w:rPr>
          <w:b/>
          <w:bCs/>
          <w:color w:val="E8720C"/>
          <w:spacing w:val="10"/>
          <w:sz w:val="21"/>
          <w:szCs w:val="21"/>
        </w:rPr>
        <w:t xml:space="preserve">SE PERGUNTAREM...</w:t>
      </w:r>
    </w:p>
    <w:p>
      <w:pPr>
        <w:pStyle w:val="ListParagraph"/>
        <w:numPr>
          <w:ilvl w:val="0"/>
          <w:numId w:val="2"/>
        </w:numPr>
        <w:spacing w:after="90" w:line="290"/>
      </w:pPr>
      <w:r>
        <w:rPr>
          <w:b/>
          <w:bCs/>
          <w:i/>
          <w:iCs/>
          <w:color w:val="1B2A4A"/>
          <w:sz w:val="21"/>
          <w:szCs w:val="21"/>
        </w:rPr>
        <w:t xml:space="preserve">“Os dados são de uma empresa real?” </w:t>
      </w:r>
      <w:r>
        <w:rPr>
          <w:sz w:val="21"/>
          <w:szCs w:val="21"/>
        </w:rPr>
        <w:t xml:space="preserve">É uma base estruturada para fins de estudo e portfólio, com padrões estatísticos realistas (sazonalidade, correlações, distribuições de atraso). A metodologia aplicada, porém, é exatamente a mesma usada em operações reais de Supply Chain Analytics.</w:t>
      </w:r>
    </w:p>
    <w:p>
      <w:pPr>
        <w:pStyle w:val="ListParagraph"/>
        <w:numPr>
          <w:ilvl w:val="0"/>
          <w:numId w:val="2"/>
        </w:numPr>
        <w:spacing w:after="90" w:line="290"/>
      </w:pPr>
      <w:r>
        <w:rPr>
          <w:b/>
          <w:bCs/>
          <w:i/>
          <w:iCs/>
          <w:color w:val="1B2A4A"/>
          <w:sz w:val="21"/>
          <w:szCs w:val="21"/>
        </w:rPr>
        <w:t xml:space="preserve">“Por que começar pela EDA e não direto pelo modelo preditivo?” </w:t>
      </w:r>
      <w:r>
        <w:rPr>
          <w:sz w:val="21"/>
          <w:szCs w:val="21"/>
        </w:rPr>
        <w:t xml:space="preserve">Porque um modelo construído sem entender os dados tende a repetir erros escondidos (outliers, inconsistências, vieses sazonais). A EDA existe para levantar hipóteses de negócio que vão guiar todas as decisões técnicas depois.</w:t>
      </w:r>
    </w:p>
    <w:p>
      <w:pPr>
        <w:pStyle w:val="Heading2"/>
        <w:pageBreakBefore/>
        <w:pBdr>
          <w:bottom w:val="single" w:color="D9DFE7" w:sz="6" w:space="6"/>
        </w:pBdr>
        <w:spacing w:after="160" w:before="420"/>
      </w:pPr>
      <w:r>
        <w:rPr>
          <w:b/>
          <w:bCs/>
          <w:color w:val="E8720C"/>
        </w:rPr>
        <w:t xml:space="preserve">SLIDE 02  ·  </w:t>
      </w:r>
      <w:r>
        <w:rPr>
          <w:b/>
          <w:bCs/>
          <w:color w:val="1B2A4A"/>
        </w:rPr>
        <w:t xml:space="preserve">Contexto, Uma cadeia eficiente no curto prazo, mas vulnerável no longo prazo</w:t>
      </w:r>
    </w:p>
    <w:p>
      <w:pPr>
        <w:spacing w:after="80" w:before="240"/>
      </w:pPr>
      <w:r>
        <w:rPr>
          <w:b/>
          <w:bCs/>
          <w:color w:val="E8720C"/>
          <w:spacing w:val="10"/>
          <w:sz w:val="21"/>
          <w:szCs w:val="21"/>
        </w:rPr>
        <w:t xml:space="preserve">O QUE DIZER</w:t>
      </w:r>
    </w:p>
    <w:p>
      <w:pPr>
        <w:spacing w:after="160" w:line="300"/>
      </w:pPr>
      <w:r>
        <w:rPr>
          <w:i w:val="false"/>
          <w:iCs w:val="false"/>
          <w:color w:val="222222"/>
          <w:sz w:val="22"/>
          <w:szCs w:val="22"/>
        </w:rPr>
        <w:t xml:space="preserve">Descreva o negócio: uma distribuidora de materiais industriais, ferramentas, EPIs, fixadores, materiais elétricos e de manutenção, para clientes em todo o Brasil, com fornecedores nacionais e internacionais e prazos de entrega de 4 a 42 dias.</w:t>
      </w:r>
    </w:p>
    <w:p>
      <w:pPr>
        <w:spacing w:after="160" w:line="300"/>
      </w:pPr>
      <w:r>
        <w:rPr>
          <w:i w:val="false"/>
          <w:iCs w:val="false"/>
          <w:color w:val="222222"/>
          <w:sz w:val="22"/>
          <w:szCs w:val="22"/>
        </w:rPr>
        <w:t xml:space="preserve">Depois, apresente as quatro dores identificadas antes da análise começar, uma a uma, conectando cada uma a uma pergunta que a análise vai responder: “Onde exatamente estão as rupturas? Quais fornecedores atrasam mais e por quê? O que está puxando o custo logístico para cima? E como sair de uma compra por intuição para uma compra orientada por previsão?”</w:t>
      </w:r>
    </w:p>
    <w:p>
      <w:pPr>
        <w:spacing w:after="80" w:before="240"/>
      </w:pPr>
      <w:r>
        <w:rPr>
          <w:b/>
          <w:bCs/>
          <w:color w:val="E8720C"/>
          <w:spacing w:val="10"/>
          <w:sz w:val="21"/>
          <w:szCs w:val="21"/>
        </w:rPr>
        <w:t xml:space="preserve">CONCEITOS-CHAVE (COLA TÉCNICA)</w:t>
      </w:r>
    </w:p>
    <w:p>
      <w:pPr>
        <w:pStyle w:val="ListParagraph"/>
        <w:numPr>
          <w:ilvl w:val="0"/>
          <w:numId w:val="2"/>
        </w:numPr>
        <w:spacing w:after="90" w:line="290"/>
      </w:pPr>
      <w:r>
        <w:rPr>
          <w:b/>
          <w:bCs/>
          <w:color w:val="1B2A4A"/>
          <w:sz w:val="21"/>
          <w:szCs w:val="21"/>
        </w:rPr>
        <w:t xml:space="preserve">EPI: </w:t>
      </w:r>
      <w:r>
        <w:rPr>
          <w:sz w:val="21"/>
          <w:szCs w:val="21"/>
        </w:rPr>
        <w:t xml:space="preserve">Equipamento de Proteção Individual, categoria de maior volume, maior custo logístico e maior taxa de ruptura no portfólio analisado.</w:t>
      </w:r>
      <w:r>
        <w:rPr>
          <w:rStyle w:val="FootnoteReference"/>
        </w:rPr>
        <w:footnoteReference w:id="2"/>
      </w:r>
    </w:p>
    <w:p>
      <w:pPr>
        <w:pStyle w:val="ListParagraph"/>
        <w:numPr>
          <w:ilvl w:val="0"/>
          <w:numId w:val="2"/>
        </w:numPr>
        <w:spacing w:after="90" w:line="290"/>
      </w:pPr>
      <w:r>
        <w:rPr>
          <w:b/>
          <w:bCs/>
          <w:color w:val="1B2A4A"/>
          <w:sz w:val="21"/>
          <w:szCs w:val="21"/>
        </w:rPr>
        <w:t xml:space="preserve">Lead time: </w:t>
      </w:r>
      <w:r>
        <w:rPr>
          <w:sz w:val="21"/>
          <w:szCs w:val="21"/>
        </w:rPr>
        <w:t xml:space="preserve">tempo decorrido entre o momento em que um pedido é feito e o momento em que ele é efetivamente recebido.</w:t>
      </w:r>
      <w:r>
        <w:rPr>
          <w:rStyle w:val="FootnoteReference"/>
        </w:rPr>
        <w:footnoteReference w:id="3"/>
      </w:r>
    </w:p>
    <w:p>
      <w:pPr>
        <w:pStyle w:val="ListParagraph"/>
        <w:numPr>
          <w:ilvl w:val="0"/>
          <w:numId w:val="2"/>
        </w:numPr>
        <w:spacing w:after="90" w:line="290"/>
      </w:pPr>
      <w:r>
        <w:rPr>
          <w:b/>
          <w:bCs/>
          <w:color w:val="1B2A4A"/>
          <w:sz w:val="21"/>
          <w:szCs w:val="21"/>
        </w:rPr>
        <w:t xml:space="preserve">Ruptura de estoque: </w:t>
      </w:r>
      <w:r>
        <w:rPr>
          <w:sz w:val="21"/>
          <w:szCs w:val="21"/>
        </w:rPr>
        <w:t xml:space="preserve">situação em que a quantidade pedida por um cliente é maior do que o estoque disponível naquele momento.</w:t>
      </w:r>
    </w:p>
    <w:p>
      <w:pPr>
        <w:spacing w:after="80" w:before="240"/>
      </w:pPr>
      <w:r>
        <w:rPr>
          <w:b/>
          <w:bCs/>
          <w:color w:val="E8720C"/>
          <w:spacing w:val="10"/>
          <w:sz w:val="21"/>
          <w:szCs w:val="21"/>
        </w:rPr>
        <w:t xml:space="preserve">EXEMPLO PRÁTICO</w:t>
      </w:r>
    </w:p>
    <w:p>
      <w:pPr>
        <w:spacing w:after="160" w:line="300"/>
      </w:pPr>
      <w:r>
        <w:rPr>
          <w:i w:val="false"/>
          <w:iCs w:val="false"/>
          <w:color w:val="222222"/>
          <w:sz w:val="22"/>
          <w:szCs w:val="22"/>
        </w:rPr>
        <w:t xml:space="preserve">No notebook de EDA, a ruptura foi calculada de forma direta e verificável: ruptura_real = 1 quando quantidade_pedida &gt; estoque_disponível. Aplicando essa regra aos 49.890 pedidos, 1.451 tiveram ruptura, ou 2,91% do total, esse é o número que abre a investigação: por que esses 2,91% acontecem, e onde eles se concentram?</w:t>
      </w:r>
    </w:p>
    <w:p>
      <w:pPr>
        <w:spacing w:after="80" w:before="240"/>
      </w:pPr>
      <w:r>
        <w:rPr>
          <w:b/>
          <w:bCs/>
          <w:color w:val="E8720C"/>
          <w:spacing w:val="10"/>
          <w:sz w:val="21"/>
          <w:szCs w:val="21"/>
        </w:rPr>
        <w:t xml:space="preserve">SE PERGUNTAREM...</w:t>
      </w:r>
    </w:p>
    <w:p>
      <w:pPr>
        <w:pStyle w:val="ListParagraph"/>
        <w:numPr>
          <w:ilvl w:val="0"/>
          <w:numId w:val="2"/>
        </w:numPr>
        <w:spacing w:after="90" w:line="290"/>
      </w:pPr>
      <w:r>
        <w:rPr>
          <w:b/>
          <w:bCs/>
          <w:i/>
          <w:iCs/>
          <w:color w:val="1B2A4A"/>
          <w:sz w:val="21"/>
          <w:szCs w:val="21"/>
        </w:rPr>
        <w:t xml:space="preserve">“Por que a empresa trabalha com fornecedores tão distantes (4 a 42 dias de prazo) se isso aumenta o risco?” </w:t>
      </w:r>
      <w:r>
        <w:rPr>
          <w:sz w:val="21"/>
          <w:szCs w:val="21"/>
        </w:rPr>
        <w:t xml:space="preserve">Normalmente por custo unitário mais baixo ou porque o item não tem equivalente nacional. O projeto não sugere eliminar esses fornecedores, mas gerenciar o risco que eles trazem com estoque de segurança e diversificação, como você verá no plano de ação.</w:t>
      </w:r>
    </w:p>
    <w:p>
      <w:pPr>
        <w:pStyle w:val="Heading2"/>
        <w:pageBreakBefore/>
        <w:pBdr>
          <w:bottom w:val="single" w:color="D9DFE7" w:sz="6" w:space="6"/>
        </w:pBdr>
        <w:spacing w:after="160" w:before="420"/>
      </w:pPr>
      <w:r>
        <w:rPr>
          <w:b/>
          <w:bCs/>
          <w:color w:val="E8720C"/>
        </w:rPr>
        <w:t xml:space="preserve">SLIDE 03  ·  </w:t>
      </w:r>
      <w:r>
        <w:rPr>
          <w:b/>
          <w:bCs/>
          <w:color w:val="1B2A4A"/>
        </w:rPr>
        <w:t xml:space="preserve">A Base em Números, Três anos de operação em quase 50 mil pedidos</w:t>
      </w:r>
    </w:p>
    <w:p>
      <w:pPr>
        <w:spacing w:after="80" w:before="240"/>
      </w:pPr>
      <w:r>
        <w:rPr>
          <w:b/>
          <w:bCs/>
          <w:color w:val="E8720C"/>
          <w:spacing w:val="10"/>
          <w:sz w:val="21"/>
          <w:szCs w:val="21"/>
        </w:rPr>
        <w:t xml:space="preserve">O QUE DIZER</w:t>
      </w:r>
    </w:p>
    <w:p>
      <w:pPr>
        <w:spacing w:after="160" w:line="300"/>
      </w:pPr>
      <w:r>
        <w:rPr>
          <w:i w:val="false"/>
          <w:iCs w:val="false"/>
          <w:color w:val="222222"/>
          <w:sz w:val="22"/>
          <w:szCs w:val="22"/>
        </w:rPr>
        <w:t xml:space="preserve">Apresente o escopo dos dados de forma rápida e objetiva, um número por vez, sem se alongar, este slide serve para dar credibilidade ao que vem a seguir, não para se aprofundar.</w:t>
      </w:r>
    </w:p>
    <w:p>
      <w:pPr>
        <w:spacing w:after="160" w:line="300"/>
      </w:pPr>
      <w:r>
        <w:rPr>
          <w:i w:val="false"/>
          <w:iCs w:val="false"/>
          <w:color w:val="222222"/>
          <w:sz w:val="22"/>
          <w:szCs w:val="22"/>
        </w:rPr>
        <w:t xml:space="preserve">Se quiser adicionar cor: “Cada linha da base é um pedido individual, com informações de produto, fornecedor, prazos, valores e status de entrega, é esse nível de detalhe, pedido a pedido, que permite calcular indicadores como OTIF e taxa de ruptura com precisão, em vez de estimativas.”</w:t>
      </w:r>
    </w:p>
    <w:p>
      <w:pPr>
        <w:spacing w:after="80" w:before="240"/>
      </w:pPr>
      <w:r>
        <w:rPr>
          <w:b/>
          <w:bCs/>
          <w:color w:val="E8720C"/>
          <w:spacing w:val="10"/>
          <w:sz w:val="21"/>
          <w:szCs w:val="21"/>
        </w:rPr>
        <w:t xml:space="preserve">CONCEITOS-CHAVE (COLA TÉCNICA)</w:t>
      </w:r>
    </w:p>
    <w:p>
      <w:pPr>
        <w:pStyle w:val="ListParagraph"/>
        <w:numPr>
          <w:ilvl w:val="0"/>
          <w:numId w:val="2"/>
        </w:numPr>
        <w:spacing w:after="90" w:line="290"/>
      </w:pPr>
      <w:r>
        <w:rPr>
          <w:b/>
          <w:bCs/>
          <w:color w:val="1B2A4A"/>
          <w:sz w:val="21"/>
          <w:szCs w:val="21"/>
        </w:rPr>
        <w:t xml:space="preserve">Granularidade: </w:t>
      </w:r>
      <w:r>
        <w:rPr>
          <w:sz w:val="21"/>
          <w:szCs w:val="21"/>
        </w:rPr>
        <w:t xml:space="preserve">o nível de detalhe de cada linha da base de dados.</w:t>
      </w:r>
      <w:r>
        <w:rPr>
          <w:rStyle w:val="FootnoteReference"/>
        </w:rPr>
        <w:footnoteReference w:id="4"/>
      </w:r>
    </w:p>
    <w:p>
      <w:pPr>
        <w:spacing w:after="80" w:before="240"/>
      </w:pPr>
      <w:r>
        <w:rPr>
          <w:b/>
          <w:bCs/>
          <w:color w:val="E8720C"/>
          <w:spacing w:val="10"/>
          <w:sz w:val="21"/>
          <w:szCs w:val="21"/>
        </w:rPr>
        <w:t xml:space="preserve">EXEMPLO PRÁTICO</w:t>
      </w:r>
    </w:p>
    <w:p>
      <w:pPr>
        <w:spacing w:after="160" w:line="300"/>
      </w:pPr>
      <w:r>
        <w:rPr>
          <w:i w:val="false"/>
          <w:iCs w:val="false"/>
          <w:color w:val="222222"/>
          <w:sz w:val="22"/>
          <w:szCs w:val="22"/>
        </w:rPr>
        <w:t xml:space="preserve">As 31 colunas originais incluem: identificação (id_pedido, id_produto, id_fornecedor), tempo (data_pedido, data_entrega_prevista, data_entrega_real), quantidade e valor (quantidade_pedida, preco_unitario, valor_total_pedido), estoque (estoque_disponivel, estoque_minimo, estoque_maximo) e geografia (regiao_destino, estado_destino). Esse leque é o que permite, mais adiante, cruzar demanda com fornecedor com estoque com custo em uma única análise.</w:t>
      </w:r>
    </w:p>
    <w:p>
      <w:pPr>
        <w:spacing w:after="80" w:before="240"/>
      </w:pPr>
      <w:r>
        <w:rPr>
          <w:b/>
          <w:bCs/>
          <w:color w:val="E8720C"/>
          <w:spacing w:val="10"/>
          <w:sz w:val="21"/>
          <w:szCs w:val="21"/>
        </w:rPr>
        <w:t xml:space="preserve">SE PERGUNTAREM...</w:t>
      </w:r>
    </w:p>
    <w:p>
      <w:pPr>
        <w:pStyle w:val="ListParagraph"/>
        <w:numPr>
          <w:ilvl w:val="0"/>
          <w:numId w:val="2"/>
        </w:numPr>
        <w:spacing w:after="90" w:line="290"/>
      </w:pPr>
      <w:r>
        <w:rPr>
          <w:b/>
          <w:bCs/>
          <w:i/>
          <w:iCs/>
          <w:color w:val="1B2A4A"/>
          <w:sz w:val="21"/>
          <w:szCs w:val="21"/>
        </w:rPr>
        <w:t xml:space="preserve">“20 produtos e 10 fornecedores não é uma base pequena?” </w:t>
      </w:r>
      <w:r>
        <w:rPr>
          <w:sz w:val="21"/>
          <w:szCs w:val="21"/>
        </w:rPr>
        <w:t xml:space="preserve">É um recorte controlado, mas cada produto tem, em média, quase 2.500 pedidos ao longo de 3 anos, volume mais do que suficiente para calcular sazonalidade, variabilidade (CV) e treinar modelos de série temporal com confiança estatística.</w:t>
      </w:r>
    </w:p>
    <w:p>
      <w:pPr>
        <w:pStyle w:val="Heading2"/>
        <w:pageBreakBefore/>
        <w:pBdr>
          <w:bottom w:val="single" w:color="D9DFE7" w:sz="6" w:space="6"/>
        </w:pBdr>
        <w:spacing w:after="160" w:before="420"/>
      </w:pPr>
      <w:r>
        <w:rPr>
          <w:b/>
          <w:bCs/>
          <w:color w:val="E8720C"/>
        </w:rPr>
        <w:t xml:space="preserve">SLIDE 04  ·  </w:t>
      </w:r>
      <w:r>
        <w:rPr>
          <w:b/>
          <w:bCs/>
          <w:color w:val="1B2A4A"/>
        </w:rPr>
        <w:t xml:space="preserve">Demanda, EPI e Fixadores dominam o ano inteiro; o 4º trimestre é sempre o pico</w:t>
      </w:r>
    </w:p>
    <w:p>
      <w:pPr>
        <w:spacing w:after="80" w:before="240"/>
      </w:pPr>
      <w:r>
        <w:rPr>
          <w:b/>
          <w:bCs/>
          <w:color w:val="E8720C"/>
          <w:spacing w:val="10"/>
          <w:sz w:val="21"/>
          <w:szCs w:val="21"/>
        </w:rPr>
        <w:t xml:space="preserve">O QUE DIZER</w:t>
      </w:r>
    </w:p>
    <w:p>
      <w:pPr>
        <w:spacing w:after="160" w:line="300"/>
      </w:pPr>
      <w:r>
        <w:rPr>
          <w:i w:val="false"/>
          <w:iCs w:val="false"/>
          <w:color w:val="222222"/>
          <w:sz w:val="22"/>
          <w:szCs w:val="22"/>
        </w:rPr>
        <w:t xml:space="preserve">Explique como ler o heatmap antes de comentar o resultado: linhas são meses, colunas são categorias, e a cor vai do amarelo claro (baixa demanda) ao vermelho escuro (alta demanda), isso deixa o padrão visualmente óbvio antes mesmo de ler os números.</w:t>
      </w:r>
    </w:p>
    <w:p>
      <w:pPr>
        <w:spacing w:after="160" w:line="300"/>
      </w:pPr>
      <w:r>
        <w:rPr>
          <w:i w:val="false"/>
          <w:iCs w:val="false"/>
          <w:color w:val="222222"/>
          <w:sz w:val="22"/>
          <w:szCs w:val="22"/>
        </w:rPr>
        <w:t xml:space="preserve">Aponte o padrão principal: EPI e Fixadores dominam o volume o ano inteiro; Manutenção, Ferramentas e Materiais são consistentemente mais baixos. E destaque a faixa de outubro a dezembro como o trimestre crítico de demanda, presente em quase todas as categorias.</w:t>
      </w:r>
    </w:p>
    <w:p>
      <w:pPr>
        <w:spacing w:after="160" w:line="300"/>
      </w:pPr>
      <w:r>
        <w:rPr>
          <w:i w:val="false"/>
          <w:iCs w:val="false"/>
          <w:color w:val="222222"/>
          <w:sz w:val="22"/>
          <w:szCs w:val="22"/>
        </w:rPr>
        <w:t xml:space="preserve">Feche conectando com o próximo slide: “Esse mesmo trimestre, T4, é também onde a ruptura de estoque mais acontece, não por coincidência.”</w:t>
      </w:r>
    </w:p>
    <w:p>
      <w:pPr>
        <w:spacing w:after="80" w:before="240"/>
      </w:pPr>
      <w:r>
        <w:rPr>
          <w:b/>
          <w:bCs/>
          <w:color w:val="E8720C"/>
          <w:spacing w:val="10"/>
          <w:sz w:val="21"/>
          <w:szCs w:val="21"/>
        </w:rPr>
        <w:t xml:space="preserve">CONCEITOS-CHAVE (COLA TÉCNICA)</w:t>
      </w:r>
    </w:p>
    <w:p>
      <w:pPr>
        <w:pStyle w:val="ListParagraph"/>
        <w:numPr>
          <w:ilvl w:val="0"/>
          <w:numId w:val="2"/>
        </w:numPr>
        <w:spacing w:after="90" w:line="290"/>
      </w:pPr>
      <w:r>
        <w:rPr>
          <w:b/>
          <w:bCs/>
          <w:color w:val="1B2A4A"/>
          <w:sz w:val="21"/>
          <w:szCs w:val="21"/>
        </w:rPr>
        <w:t xml:space="preserve">Sazonalidade: </w:t>
      </w:r>
      <w:r>
        <w:rPr>
          <w:sz w:val="21"/>
          <w:szCs w:val="21"/>
        </w:rPr>
        <w:t xml:space="preserve">padrão que se repete em intervalos regulares de tempo (aqui, anualmente).</w:t>
      </w:r>
      <w:r>
        <w:rPr>
          <w:rStyle w:val="FootnoteReference"/>
        </w:rPr>
        <w:footnoteReference w:id="5"/>
      </w:r>
    </w:p>
    <w:p>
      <w:pPr>
        <w:pStyle w:val="ListParagraph"/>
        <w:numPr>
          <w:ilvl w:val="0"/>
          <w:numId w:val="2"/>
        </w:numPr>
        <w:spacing w:after="90" w:line="290"/>
      </w:pPr>
      <w:r>
        <w:rPr>
          <w:b/>
          <w:bCs/>
          <w:color w:val="1B2A4A"/>
          <w:sz w:val="21"/>
          <w:szCs w:val="21"/>
        </w:rPr>
        <w:t xml:space="preserve">Heatmap: </w:t>
      </w:r>
      <w:r>
        <w:rPr>
          <w:sz w:val="21"/>
          <w:szCs w:val="21"/>
        </w:rPr>
        <w:t xml:space="preserve">gráfico de matriz colorida usado para mostrar a intensidade de uma variável cruzando duas dimensões categóricas (aqui, mês × categoria).</w:t>
      </w:r>
    </w:p>
    <w:p>
      <w:pPr>
        <w:spacing w:after="80" w:before="240"/>
      </w:pPr>
      <w:r>
        <w:rPr>
          <w:b/>
          <w:bCs/>
          <w:color w:val="E8720C"/>
          <w:spacing w:val="10"/>
          <w:sz w:val="21"/>
          <w:szCs w:val="21"/>
        </w:rPr>
        <w:t xml:space="preserve">EXEMPLO PRÁTICO</w:t>
      </w:r>
    </w:p>
    <w:p>
      <w:pPr>
        <w:spacing w:after="160" w:line="300"/>
      </w:pPr>
      <w:r>
        <w:rPr>
          <w:i w:val="false"/>
          <w:iCs w:val="false"/>
          <w:color w:val="222222"/>
          <w:sz w:val="22"/>
          <w:szCs w:val="22"/>
        </w:rPr>
        <w:t xml:space="preserve">A categoria EPI atinge seu pico absoluto em outubro, com 486.011 unidades pedidas, mais que o dobro do valor observado em janeiro (242.125). Esse tipo de amplitude (mínimo vs. máximo dentro do mesmo ano) é o que justifica, lá na Etapa 6, um estoque de segurança dimensionado por fórmula estatística, e não por “sensação” de quanto comprar.</w:t>
      </w:r>
    </w:p>
    <w:p>
      <w:pPr>
        <w:spacing w:after="80" w:before="240"/>
      </w:pPr>
      <w:r>
        <w:rPr>
          <w:b/>
          <w:bCs/>
          <w:color w:val="E8720C"/>
          <w:spacing w:val="10"/>
          <w:sz w:val="21"/>
          <w:szCs w:val="21"/>
        </w:rPr>
        <w:t xml:space="preserve">SE PERGUNTAREM...</w:t>
      </w:r>
    </w:p>
    <w:p>
      <w:pPr>
        <w:pStyle w:val="ListParagraph"/>
        <w:numPr>
          <w:ilvl w:val="0"/>
          <w:numId w:val="2"/>
        </w:numPr>
        <w:spacing w:after="90" w:line="290"/>
      </w:pPr>
      <w:r>
        <w:rPr>
          <w:b/>
          <w:bCs/>
          <w:i/>
          <w:iCs/>
          <w:color w:val="1B2A4A"/>
          <w:sz w:val="21"/>
          <w:szCs w:val="21"/>
        </w:rPr>
        <w:t xml:space="preserve">“Por que especificamente EPI tem picos em certos meses?” </w:t>
      </w:r>
      <w:r>
        <w:rPr>
          <w:sz w:val="21"/>
          <w:szCs w:val="21"/>
        </w:rPr>
        <w:t xml:space="preserve">O padrão observado sugere relação com ciclos regulatórios de segurança do trabalho (auditorias semestrais de CIPA), que forçam reposição concentrada de equipamentos de proteção em determinadas janelas do ano, uma hipótese de negócio a validar com a área operacional.</w:t>
      </w:r>
    </w:p>
    <w:p>
      <w:pPr>
        <w:pStyle w:val="Heading2"/>
        <w:pageBreakBefore/>
        <w:pBdr>
          <w:bottom w:val="single" w:color="D9DFE7" w:sz="6" w:space="6"/>
        </w:pBdr>
        <w:spacing w:after="160" w:before="420"/>
      </w:pPr>
      <w:r>
        <w:rPr>
          <w:b/>
          <w:bCs/>
          <w:color w:val="E8720C"/>
        </w:rPr>
        <w:t xml:space="preserve">SLIDE 05  ·  </w:t>
      </w:r>
      <w:r>
        <w:rPr>
          <w:b/>
          <w:bCs/>
          <w:color w:val="1B2A4A"/>
        </w:rPr>
        <w:t xml:space="preserve">Ruptura de Estoque, Sazonal, previsível, e piorando a cada ano</w:t>
      </w:r>
    </w:p>
    <w:p>
      <w:pPr>
        <w:spacing w:after="80" w:before="240"/>
      </w:pPr>
      <w:r>
        <w:rPr>
          <w:b/>
          <w:bCs/>
          <w:color w:val="E8720C"/>
          <w:spacing w:val="10"/>
          <w:sz w:val="21"/>
          <w:szCs w:val="21"/>
        </w:rPr>
        <w:t xml:space="preserve">O QUE DIZER</w:t>
      </w:r>
    </w:p>
    <w:p>
      <w:pPr>
        <w:spacing w:after="160" w:line="300"/>
      </w:pPr>
      <w:r>
        <w:rPr>
          <w:i w:val="false"/>
          <w:iCs w:val="false"/>
          <w:color w:val="222222"/>
          <w:sz w:val="22"/>
          <w:szCs w:val="22"/>
        </w:rPr>
        <w:t xml:space="preserve">Mostre o gráfico de evolução trimestral e aponte o padrão “dente de serra”: pico no T4, queda abrupta no T1 seguinte, repetindo-se nos três anos.</w:t>
      </w:r>
    </w:p>
    <w:p>
      <w:pPr>
        <w:spacing w:after="160" w:line="300"/>
      </w:pPr>
      <w:r>
        <w:rPr>
          <w:i w:val="false"/>
          <w:iCs w:val="false"/>
          <w:color w:val="222222"/>
          <w:sz w:val="22"/>
          <w:szCs w:val="22"/>
        </w:rPr>
        <w:t xml:space="preserve">Depois, chame atenção para a tendência dentro do padrão: os picos de T4 estão crescendo ano a ano, 5,0% em 2022, 6,0% em 2023, 6,3% em 2024. Isso transforma um problema sazonal (que seria só operacional) em um problema estrutural (a capacidade de reposição não está acompanhando o crescimento da demanda).</w:t>
      </w:r>
    </w:p>
    <w:p>
      <w:pPr>
        <w:spacing w:after="160" w:line="300"/>
      </w:pPr>
      <w:r>
        <w:rPr>
          <w:i w:val="false"/>
          <w:iCs w:val="false"/>
          <w:color w:val="222222"/>
          <w:sz w:val="22"/>
          <w:szCs w:val="22"/>
        </w:rPr>
        <w:t xml:space="preserve">Encerre com a implicação prática: como o padrão se repete de forma consistente, ele é previsível, e, portanto, evitável com antecipação de compras no trimestre anterior (T3).</w:t>
      </w:r>
    </w:p>
    <w:p>
      <w:pPr>
        <w:spacing w:after="80" w:before="240"/>
      </w:pPr>
      <w:r>
        <w:rPr>
          <w:b/>
          <w:bCs/>
          <w:color w:val="E8720C"/>
          <w:spacing w:val="10"/>
          <w:sz w:val="21"/>
          <w:szCs w:val="21"/>
        </w:rPr>
        <w:t xml:space="preserve">CONCEITOS-CHAVE (COLA TÉCNICA)</w:t>
      </w:r>
    </w:p>
    <w:p>
      <w:pPr>
        <w:pStyle w:val="ListParagraph"/>
        <w:numPr>
          <w:ilvl w:val="0"/>
          <w:numId w:val="2"/>
        </w:numPr>
        <w:spacing w:after="90" w:line="290"/>
      </w:pPr>
      <w:r>
        <w:rPr>
          <w:b/>
          <w:bCs/>
          <w:color w:val="1B2A4A"/>
          <w:sz w:val="21"/>
          <w:szCs w:val="21"/>
        </w:rPr>
        <w:t xml:space="preserve">Taxa de ruptura: </w:t>
      </w:r>
      <w:r>
        <w:rPr>
          <w:sz w:val="21"/>
          <w:szCs w:val="21"/>
        </w:rPr>
        <w:t xml:space="preserve">percentual de pedidos, dentro de um recorte (trimestre, categoria, produto), em que a quantidade pedida excedeu o estoque disponível.</w:t>
      </w:r>
    </w:p>
    <w:p>
      <w:pPr>
        <w:pStyle w:val="ListParagraph"/>
        <w:numPr>
          <w:ilvl w:val="0"/>
          <w:numId w:val="2"/>
        </w:numPr>
        <w:spacing w:after="90" w:line="290"/>
      </w:pPr>
      <w:r>
        <w:rPr>
          <w:b/>
          <w:bCs/>
          <w:color w:val="1B2A4A"/>
          <w:sz w:val="21"/>
          <w:szCs w:val="21"/>
        </w:rPr>
        <w:t xml:space="preserve">Padrão estrutural vs. ruído aleatório: </w:t>
      </w:r>
      <w:r>
        <w:rPr>
          <w:sz w:val="21"/>
          <w:szCs w:val="21"/>
        </w:rPr>
        <w:t xml:space="preserve">um padrão estrutural se repete de forma consistente ao longo do tempo por uma causa identificável; ruído aleatório não tem direção nem causa clara.</w:t>
      </w:r>
      <w:r>
        <w:rPr>
          <w:rStyle w:val="FootnoteReference"/>
        </w:rPr>
        <w:footnoteReference w:id="6"/>
      </w:r>
    </w:p>
    <w:p>
      <w:pPr>
        <w:spacing w:after="80" w:before="240"/>
      </w:pPr>
      <w:r>
        <w:rPr>
          <w:b/>
          <w:bCs/>
          <w:color w:val="E8720C"/>
          <w:spacing w:val="10"/>
          <w:sz w:val="21"/>
          <w:szCs w:val="21"/>
        </w:rPr>
        <w:t xml:space="preserve">EXEMPLO PRÁTICO</w:t>
      </w:r>
    </w:p>
    <w:p>
      <w:pPr>
        <w:spacing w:after="160" w:line="300"/>
      </w:pPr>
      <w:r>
        <w:rPr>
          <w:i w:val="false"/>
          <w:iCs w:val="false"/>
          <w:color w:val="222222"/>
          <w:sz w:val="22"/>
          <w:szCs w:val="22"/>
        </w:rPr>
        <w:t xml:space="preserve">Se a tendência de crescimento dos picos de T4 continuar na mesma velocidade (5,0% → 6,0% → 6,3%), o T4 de 2025 pode ultrapassar 7% de ruptura sem nenhuma intervenção preventiva, essa é uma extrapolação simples da tendência observada, não uma previsão formal de modelo.</w:t>
      </w:r>
    </w:p>
    <w:p>
      <w:pPr>
        <w:spacing w:after="80" w:before="240"/>
      </w:pPr>
      <w:r>
        <w:rPr>
          <w:b/>
          <w:bCs/>
          <w:color w:val="E8720C"/>
          <w:spacing w:val="10"/>
          <w:sz w:val="21"/>
          <w:szCs w:val="21"/>
        </w:rPr>
        <w:t xml:space="preserve">SE PERGUNTAREM...</w:t>
      </w:r>
    </w:p>
    <w:p>
      <w:pPr>
        <w:pStyle w:val="ListParagraph"/>
        <w:numPr>
          <w:ilvl w:val="0"/>
          <w:numId w:val="2"/>
        </w:numPr>
        <w:spacing w:after="90" w:line="290"/>
      </w:pPr>
      <w:r>
        <w:rPr>
          <w:b/>
          <w:bCs/>
          <w:i/>
          <w:iCs/>
          <w:color w:val="1B2A4A"/>
          <w:sz w:val="21"/>
          <w:szCs w:val="21"/>
        </w:rPr>
        <w:t xml:space="preserve">“Como vocês sabem que isso vai continuar piorando e não é só uma coincidência dos últimos 3 anos?” </w:t>
      </w:r>
      <w:r>
        <w:rPr>
          <w:sz w:val="21"/>
          <w:szCs w:val="21"/>
        </w:rPr>
        <w:t xml:space="preserve">Não é uma certeza estatística formal (são só 3 pontos), mas é um sinal de alerta forte o suficiente para justificar ação preventiva, e o custo de agir (aumentar estoque de segurança no T3) é muito menor que o custo de uma ruptura real no T4.</w:t>
      </w:r>
    </w:p>
    <w:p>
      <w:pPr>
        <w:pStyle w:val="Heading2"/>
        <w:pageBreakBefore/>
        <w:pBdr>
          <w:bottom w:val="single" w:color="D9DFE7" w:sz="6" w:space="6"/>
        </w:pBdr>
        <w:spacing w:after="160" w:before="420"/>
      </w:pPr>
      <w:r>
        <w:rPr>
          <w:b/>
          <w:bCs/>
          <w:color w:val="E8720C"/>
        </w:rPr>
        <w:t xml:space="preserve">SLIDE 06  ·  </w:t>
      </w:r>
      <w:r>
        <w:rPr>
          <w:b/>
          <w:bCs/>
          <w:color w:val="1B2A4A"/>
        </w:rPr>
        <w:t xml:space="preserve">Atrasos, Fornecedores internacionais atrasam até 15x mais que os nacionais</w:t>
      </w:r>
    </w:p>
    <w:p>
      <w:pPr>
        <w:spacing w:after="80" w:before="240"/>
      </w:pPr>
      <w:r>
        <w:rPr>
          <w:b/>
          <w:bCs/>
          <w:color w:val="E8720C"/>
          <w:spacing w:val="10"/>
          <w:sz w:val="21"/>
          <w:szCs w:val="21"/>
        </w:rPr>
        <w:t xml:space="preserve">O QUE DIZER</w:t>
      </w:r>
    </w:p>
    <w:p>
      <w:pPr>
        <w:spacing w:after="160" w:line="300"/>
      </w:pPr>
      <w:r>
        <w:rPr>
          <w:i w:val="false"/>
          <w:iCs w:val="false"/>
          <w:color w:val="222222"/>
          <w:sz w:val="22"/>
          <w:szCs w:val="22"/>
        </w:rPr>
        <w:t xml:space="preserve">Apresente os dois gráficos como duas perguntas diferentes: o primeiro (barras) responde “quem atrasa mais, em média?”; o segundo (histograma) responde “quando atrasa, por quanto tempo, geralmente?”.</w:t>
      </w:r>
    </w:p>
    <w:p>
      <w:pPr>
        <w:spacing w:after="160" w:line="300"/>
      </w:pPr>
      <w:r>
        <w:rPr>
          <w:i w:val="false"/>
          <w:iCs w:val="false"/>
          <w:color w:val="222222"/>
          <w:sz w:val="22"/>
          <w:szCs w:val="22"/>
        </w:rPr>
        <w:t xml:space="preserve">No primeiro: atraso médio de ~1,5 dia para internacional, contra ~0,10 dia para nacional, uma diferença de ordem de grandeza, não de detalhe.</w:t>
      </w:r>
    </w:p>
    <w:p>
      <w:pPr>
        <w:spacing w:after="160" w:line="300"/>
      </w:pPr>
      <w:r>
        <w:rPr>
          <w:i w:val="false"/>
          <w:iCs w:val="false"/>
          <w:color w:val="222222"/>
          <w:sz w:val="22"/>
          <w:szCs w:val="22"/>
        </w:rPr>
        <w:t xml:space="preserve">No segundo: mostre que a distribuição é assimétrica à direita, a maioria dos atrasos é curta (1 a 2 dias), mas existe uma cauda longa de casos extremos (até ~30 dias) que merece investigação pontual, não uma política geral.</w:t>
      </w:r>
    </w:p>
    <w:p>
      <w:pPr>
        <w:spacing w:after="80" w:before="240"/>
      </w:pPr>
      <w:r>
        <w:rPr>
          <w:b/>
          <w:bCs/>
          <w:color w:val="E8720C"/>
          <w:spacing w:val="10"/>
          <w:sz w:val="21"/>
          <w:szCs w:val="21"/>
        </w:rPr>
        <w:t xml:space="preserve">CONCEITOS-CHAVE (COLA TÉCNICA)</w:t>
      </w:r>
    </w:p>
    <w:p>
      <w:pPr>
        <w:pStyle w:val="ListParagraph"/>
        <w:numPr>
          <w:ilvl w:val="0"/>
          <w:numId w:val="2"/>
        </w:numPr>
        <w:spacing w:after="90" w:line="290"/>
      </w:pPr>
      <w:r>
        <w:rPr>
          <w:b/>
          <w:bCs/>
          <w:color w:val="1B2A4A"/>
          <w:sz w:val="21"/>
          <w:szCs w:val="21"/>
        </w:rPr>
        <w:t xml:space="preserve">Atraso (atraso_dias): </w:t>
      </w:r>
      <w:r>
        <w:rPr>
          <w:sz w:val="21"/>
          <w:szCs w:val="21"/>
        </w:rPr>
        <w:t xml:space="preserve">diferença, em dias, entre a data de entrega real e a data de entrega prevista (nunca negativa, entregas antecipadas contam como zero de atraso).</w:t>
      </w:r>
    </w:p>
    <w:p>
      <w:pPr>
        <w:pStyle w:val="ListParagraph"/>
        <w:numPr>
          <w:ilvl w:val="0"/>
          <w:numId w:val="2"/>
        </w:numPr>
        <w:spacing w:after="90" w:line="290"/>
      </w:pPr>
      <w:r>
        <w:rPr>
          <w:b/>
          <w:bCs/>
          <w:color w:val="1B2A4A"/>
          <w:sz w:val="21"/>
          <w:szCs w:val="21"/>
        </w:rPr>
        <w:t xml:space="preserve">Distribuição assimétrica à direita: </w:t>
      </w:r>
      <w:r>
        <w:rPr>
          <w:sz w:val="21"/>
          <w:szCs w:val="21"/>
        </w:rPr>
        <w:t xml:space="preserve">distribuição em que a maior parte dos valores está concentrada à esquerda (perto de zero), com uma cauda longa de valores altos, porém raros, se estendendo à direita.</w:t>
      </w:r>
      <w:r>
        <w:rPr>
          <w:rStyle w:val="FootnoteReference"/>
        </w:rPr>
        <w:footnoteReference w:id="7"/>
      </w:r>
    </w:p>
    <w:p>
      <w:pPr>
        <w:spacing w:after="80" w:before="240"/>
      </w:pPr>
      <w:r>
        <w:rPr>
          <w:b/>
          <w:bCs/>
          <w:color w:val="E8720C"/>
          <w:spacing w:val="10"/>
          <w:sz w:val="21"/>
          <w:szCs w:val="21"/>
        </w:rPr>
        <w:t xml:space="preserve">EXEMPLO PRÁTICO</w:t>
      </w:r>
    </w:p>
    <w:p>
      <w:pPr>
        <w:spacing w:after="160" w:line="300"/>
      </w:pPr>
      <w:r>
        <w:rPr>
          <w:i w:val="false"/>
          <w:iCs w:val="false"/>
          <w:color w:val="222222"/>
          <w:sz w:val="22"/>
          <w:szCs w:val="22"/>
        </w:rPr>
        <w:t xml:space="preserve">9,9% de todas as entregas (4.942 de 49.890) chegaram atrasadas. Isso parece um número só moderadamente alto, mas o atraso médio dos fornecedores internacionais é cerca de 15 vezes o dos nacionais, ou seja, o problema não está distribuído igualmente pela base, está concentrado em um segmento específico de fornecedores. É esse tipo de concentração que orienta uma ação cirúrgica (revisar 3 ou 4 fornecedores) em vez de uma política genérica para todos os 10.</w:t>
      </w:r>
    </w:p>
    <w:p>
      <w:pPr>
        <w:spacing w:after="80" w:before="240"/>
      </w:pPr>
      <w:r>
        <w:rPr>
          <w:b/>
          <w:bCs/>
          <w:color w:val="E8720C"/>
          <w:spacing w:val="10"/>
          <w:sz w:val="21"/>
          <w:szCs w:val="21"/>
        </w:rPr>
        <w:t xml:space="preserve">SE PERGUNTAREM...</w:t>
      </w:r>
    </w:p>
    <w:p>
      <w:pPr>
        <w:pStyle w:val="ListParagraph"/>
        <w:numPr>
          <w:ilvl w:val="0"/>
          <w:numId w:val="2"/>
        </w:numPr>
        <w:spacing w:after="90" w:line="290"/>
      </w:pPr>
      <w:r>
        <w:rPr>
          <w:b/>
          <w:bCs/>
          <w:i/>
          <w:iCs/>
          <w:color w:val="1B2A4A"/>
          <w:sz w:val="21"/>
          <w:szCs w:val="21"/>
        </w:rPr>
        <w:t xml:space="preserve">“Por que não simplesmente trocar todos os fornecedores internacionais por nacionais?” </w:t>
      </w:r>
      <w:r>
        <w:rPr>
          <w:sz w:val="21"/>
          <w:szCs w:val="21"/>
        </w:rPr>
        <w:t xml:space="preserve">Porque eles normalmente existem por um motivo, custo unitário menor ou item sem equivalente nacional. A recomendação do projeto não é eliminar, é gerenciar o risco com estoque de segurança dimensionado e, nos casos mais críticos (Slide 8), avaliar substituição pontual.</w:t>
      </w:r>
    </w:p>
    <w:p>
      <w:pPr>
        <w:pStyle w:val="Heading2"/>
        <w:pageBreakBefore/>
        <w:pBdr>
          <w:bottom w:val="single" w:color="D9DFE7" w:sz="6" w:space="6"/>
        </w:pBdr>
        <w:spacing w:after="160" w:before="420"/>
      </w:pPr>
      <w:r>
        <w:rPr>
          <w:b/>
          <w:bCs/>
          <w:color w:val="E8720C"/>
        </w:rPr>
        <w:t xml:space="preserve">SLIDE 07  ·  </w:t>
      </w:r>
      <w:r>
        <w:rPr>
          <w:b/>
          <w:bCs/>
          <w:color w:val="1B2A4A"/>
        </w:rPr>
        <w:t xml:space="preserve">Nível de Serviço, Quanto maior o lead time, menor o OTIF</w:t>
      </w:r>
    </w:p>
    <w:p>
      <w:pPr>
        <w:spacing w:after="80" w:before="240"/>
      </w:pPr>
      <w:r>
        <w:rPr>
          <w:b/>
          <w:bCs/>
          <w:color w:val="E8720C"/>
          <w:spacing w:val="10"/>
          <w:sz w:val="21"/>
          <w:szCs w:val="21"/>
        </w:rPr>
        <w:t xml:space="preserve">O QUE DIZER</w:t>
      </w:r>
    </w:p>
    <w:p>
      <w:pPr>
        <w:spacing w:after="160" w:line="300"/>
      </w:pPr>
      <w:r>
        <w:rPr>
          <w:i w:val="false"/>
          <w:iCs w:val="false"/>
          <w:color w:val="222222"/>
          <w:sz w:val="22"/>
          <w:szCs w:val="22"/>
        </w:rPr>
        <w:t xml:space="preserve">Comece pelo gráfico da esquerda (barras): lead time médio e desvio padrão por tipo de fornecedor. Aponte que o internacional não é só mais lento (~35 dias vs. ~5 dias do nacional), é também mais imprevisível (desvio padrão proporcionalmente maior).</w:t>
      </w:r>
    </w:p>
    <w:p>
      <w:pPr>
        <w:spacing w:after="160" w:line="300"/>
      </w:pPr>
      <w:r>
        <w:rPr>
          <w:i w:val="false"/>
          <w:iCs w:val="false"/>
          <w:color w:val="222222"/>
          <w:sz w:val="22"/>
          <w:szCs w:val="22"/>
        </w:rPr>
        <w:t xml:space="preserve">Depois, use o gráfico da direita (bolhas) para mostrar a relação entre as duas variáveis ao mesmo tempo: no eixo X, o lead time; no eixo Y, o OTIF; o tamanho da bolha representa o volume de pedidos daquele fornecedor. Aponte que os fornecedores nacionais (azul) se concentram no canto superior esquerdo, rápido e confiável, enquanto os internacionais (vermelho) se espalham para a direita e para baixo.</w:t>
      </w:r>
    </w:p>
    <w:p>
      <w:pPr>
        <w:spacing w:after="160" w:line="300"/>
      </w:pPr>
      <w:r>
        <w:rPr>
          <w:i w:val="false"/>
          <w:iCs w:val="false"/>
          <w:color w:val="222222"/>
          <w:sz w:val="22"/>
          <w:szCs w:val="22"/>
        </w:rPr>
        <w:t xml:space="preserve">Feche com a conclusão de causa-efeito: reduzir o lead time dos fornecedores internacionais é a alavanca mais direta para elevar o nível de serviço da cadeia como um todo.</w:t>
      </w:r>
    </w:p>
    <w:p>
      <w:pPr>
        <w:spacing w:after="80" w:before="240"/>
      </w:pPr>
      <w:r>
        <w:rPr>
          <w:b/>
          <w:bCs/>
          <w:color w:val="E8720C"/>
          <w:spacing w:val="10"/>
          <w:sz w:val="21"/>
          <w:szCs w:val="21"/>
        </w:rPr>
        <w:t xml:space="preserve">CONCEITOS-CHAVE (COLA TÉCNICA)</w:t>
      </w:r>
    </w:p>
    <w:p>
      <w:pPr>
        <w:pStyle w:val="ListParagraph"/>
        <w:numPr>
          <w:ilvl w:val="0"/>
          <w:numId w:val="2"/>
        </w:numPr>
        <w:spacing w:after="90" w:line="290"/>
      </w:pPr>
      <w:r>
        <w:rPr>
          <w:b/>
          <w:bCs/>
          <w:color w:val="1B2A4A"/>
          <w:sz w:val="21"/>
          <w:szCs w:val="21"/>
        </w:rPr>
        <w:t xml:space="preserve">OTIF: </w:t>
      </w:r>
      <w:r>
        <w:rPr>
          <w:sz w:val="21"/>
          <w:szCs w:val="21"/>
        </w:rPr>
        <w:t xml:space="preserve">On Time In Full, percentual de pedidos entregues simultaneamente no prazo certo e na quantidade completa.</w:t>
      </w:r>
      <w:r>
        <w:rPr>
          <w:rStyle w:val="FootnoteReference"/>
        </w:rPr>
        <w:footnoteReference w:id="8"/>
      </w:r>
    </w:p>
    <w:p>
      <w:pPr>
        <w:pStyle w:val="ListParagraph"/>
        <w:numPr>
          <w:ilvl w:val="0"/>
          <w:numId w:val="2"/>
        </w:numPr>
        <w:spacing w:after="90" w:line="290"/>
      </w:pPr>
      <w:r>
        <w:rPr>
          <w:b/>
          <w:bCs/>
          <w:color w:val="1B2A4A"/>
          <w:sz w:val="21"/>
          <w:szCs w:val="21"/>
        </w:rPr>
        <w:t xml:space="preserve">Bubble chart (gráfico de bolhas): </w:t>
      </w:r>
      <w:r>
        <w:rPr>
          <w:sz w:val="21"/>
          <w:szCs w:val="21"/>
        </w:rPr>
        <w:t xml:space="preserve">gráfico de dispersão em que um terceiro atributo numérico é representado pelo tamanho do marcador, permitindo visualizar três variáveis em duas dimensões.</w:t>
      </w:r>
    </w:p>
    <w:p>
      <w:pPr>
        <w:spacing w:after="80" w:before="240"/>
      </w:pPr>
      <w:r>
        <w:rPr>
          <w:b/>
          <w:bCs/>
          <w:color w:val="E8720C"/>
          <w:spacing w:val="10"/>
          <w:sz w:val="21"/>
          <w:szCs w:val="21"/>
        </w:rPr>
        <w:t xml:space="preserve">EXEMPLO PRÁTICO</w:t>
      </w:r>
    </w:p>
    <w:p>
      <w:pPr>
        <w:spacing w:after="160" w:line="300"/>
      </w:pPr>
      <w:r>
        <w:rPr>
          <w:i w:val="false"/>
          <w:iCs w:val="false"/>
          <w:color w:val="222222"/>
          <w:sz w:val="22"/>
          <w:szCs w:val="22"/>
        </w:rPr>
        <w:t xml:space="preserve">No dataset simplificado deste projeto, o OTIF foi aproximado apenas pelo critério de prazo, entrega_no_prazo = 1 quando status_entrega == 'Entregue no Prazo', porque não havia uma coluna separada de quantidade efetivamente entregue divergente da quantidade pedida. Em uma implementação de produção, o ideal é ter as duas dimensões (prazo e quantidade) registradas de forma independente para calcular o OTIF com rigor total.</w:t>
      </w:r>
    </w:p>
    <w:p>
      <w:pPr>
        <w:spacing w:after="80" w:before="240"/>
      </w:pPr>
      <w:r>
        <w:rPr>
          <w:b/>
          <w:bCs/>
          <w:color w:val="E8720C"/>
          <w:spacing w:val="10"/>
          <w:sz w:val="21"/>
          <w:szCs w:val="21"/>
        </w:rPr>
        <w:t xml:space="preserve">SE PERGUNTAREM...</w:t>
      </w:r>
    </w:p>
    <w:p>
      <w:pPr>
        <w:pStyle w:val="ListParagraph"/>
        <w:numPr>
          <w:ilvl w:val="0"/>
          <w:numId w:val="2"/>
        </w:numPr>
        <w:spacing w:after="90" w:line="290"/>
      </w:pPr>
      <w:r>
        <w:rPr>
          <w:b/>
          <w:bCs/>
          <w:i/>
          <w:iCs/>
          <w:color w:val="1B2A4A"/>
          <w:sz w:val="21"/>
          <w:szCs w:val="21"/>
        </w:rPr>
        <w:t xml:space="preserve">“Essa é uma limitação importante do estudo?” </w:t>
      </w:r>
      <w:r>
        <w:rPr>
          <w:sz w:val="21"/>
          <w:szCs w:val="21"/>
        </w:rPr>
        <w:t xml:space="preserve">Sim, e vale mencionar se perguntarem: é uma simplificação necessária dado o dataset disponível, não um erro de metodologia. O indicador usado (taxa de entrega no prazo) ainda é um proxy forte e amplamente usado no mercado quando a informação de quantidade divergente não está disponível.</w:t>
      </w:r>
    </w:p>
    <w:p>
      <w:pPr>
        <w:pStyle w:val="Heading2"/>
        <w:pageBreakBefore/>
        <w:pBdr>
          <w:bottom w:val="single" w:color="D9DFE7" w:sz="6" w:space="6"/>
        </w:pBdr>
        <w:spacing w:after="160" w:before="420"/>
      </w:pPr>
      <w:r>
        <w:rPr>
          <w:b/>
          <w:bCs/>
          <w:color w:val="E8720C"/>
        </w:rPr>
        <w:t xml:space="preserve">SLIDE 08  ·  </w:t>
      </w:r>
      <w:r>
        <w:rPr>
          <w:b/>
          <w:bCs/>
          <w:color w:val="1B2A4A"/>
        </w:rPr>
        <w:t xml:space="preserve">OTIF, Metade dos 10 fornecedores está abaixo da meta de 90%</w:t>
      </w:r>
    </w:p>
    <w:p>
      <w:pPr>
        <w:spacing w:after="80" w:before="240"/>
      </w:pPr>
      <w:r>
        <w:rPr>
          <w:b/>
          <w:bCs/>
          <w:color w:val="E8720C"/>
          <w:spacing w:val="10"/>
          <w:sz w:val="21"/>
          <w:szCs w:val="21"/>
        </w:rPr>
        <w:t xml:space="preserve">O QUE DIZER</w:t>
      </w:r>
    </w:p>
    <w:p>
      <w:pPr>
        <w:spacing w:after="160" w:line="300"/>
      </w:pPr>
      <w:r>
        <w:rPr>
          <w:i w:val="false"/>
          <w:iCs w:val="false"/>
          <w:color w:val="222222"/>
          <w:sz w:val="22"/>
          <w:szCs w:val="22"/>
        </w:rPr>
        <w:t xml:space="preserve">Mostre o ranking Top 5 / Bottom 5: no topo (verde), fornecedores acima da meta, liderados pela Ferramental SP (~96,5%); na base (vermelho), abaixo da meta, com AsiaTools Manufacturing (~71,9%) e China Industrial Supplies (~77,5%) nas piores posições.</w:t>
      </w:r>
    </w:p>
    <w:p>
      <w:pPr>
        <w:spacing w:after="160" w:line="300"/>
      </w:pPr>
      <w:r>
        <w:rPr>
          <w:i w:val="false"/>
          <w:iCs w:val="false"/>
          <w:color w:val="222222"/>
          <w:sz w:val="22"/>
          <w:szCs w:val="22"/>
        </w:rPr>
        <w:t xml:space="preserve">Destaque que os dois piores em OTIF são exatamente os dois com maior atraso médio e maior custo de frete, os três problemas caminham juntos no mesmo grupo de fornecedores, o que simplifica a priorização de ação: resolvendo esses 2, o maior volume de risco já é endereçado.</w:t>
      </w:r>
    </w:p>
    <w:p>
      <w:pPr>
        <w:spacing w:after="80" w:before="240"/>
      </w:pPr>
      <w:r>
        <w:rPr>
          <w:b/>
          <w:bCs/>
          <w:color w:val="E8720C"/>
          <w:spacing w:val="10"/>
          <w:sz w:val="21"/>
          <w:szCs w:val="21"/>
        </w:rPr>
        <w:t xml:space="preserve">CONCEITOS-CHAVE (COLA TÉCNICA)</w:t>
      </w:r>
    </w:p>
    <w:p>
      <w:pPr>
        <w:pStyle w:val="ListParagraph"/>
        <w:numPr>
          <w:ilvl w:val="0"/>
          <w:numId w:val="2"/>
        </w:numPr>
        <w:spacing w:after="90" w:line="290"/>
      </w:pPr>
      <w:r>
        <w:rPr>
          <w:b/>
          <w:bCs/>
          <w:color w:val="1B2A4A"/>
          <w:sz w:val="21"/>
          <w:szCs w:val="21"/>
        </w:rPr>
        <w:t xml:space="preserve">Meta / benchmark: </w:t>
      </w:r>
      <w:r>
        <w:rPr>
          <w:sz w:val="21"/>
          <w:szCs w:val="21"/>
        </w:rPr>
        <w:t xml:space="preserve">valor de referência usado para julgar se um indicador está bom ou ruim.</w:t>
      </w:r>
      <w:r>
        <w:rPr>
          <w:rStyle w:val="FootnoteReference"/>
        </w:rPr>
        <w:footnoteReference w:id="9"/>
      </w:r>
    </w:p>
    <w:p>
      <w:pPr>
        <w:spacing w:after="80" w:before="240"/>
      </w:pPr>
      <w:r>
        <w:rPr>
          <w:b/>
          <w:bCs/>
          <w:color w:val="E8720C"/>
          <w:spacing w:val="10"/>
          <w:sz w:val="21"/>
          <w:szCs w:val="21"/>
        </w:rPr>
        <w:t xml:space="preserve">EXEMPLO PRÁTICO</w:t>
      </w:r>
    </w:p>
    <w:p>
      <w:pPr>
        <w:spacing w:after="160" w:line="300"/>
      </w:pPr>
      <w:r>
        <w:rPr>
          <w:i w:val="false"/>
          <w:iCs w:val="false"/>
          <w:color w:val="222222"/>
          <w:sz w:val="22"/>
          <w:szCs w:val="22"/>
        </w:rPr>
        <w:t xml:space="preserve">AsiaTools Manufacturing tem OTIF de aproximadamente 72%, o que significa que quase 1 em cada 4 pedidos desse fornecedor falha em chegar no prazo e na quantidade certa. Combinando isso com o fato de ser um fornecedor internacional (lead time ~45 dias, o maior da base), fica claro por que ele aparece como prioridade de substituição no plano de ação final.</w:t>
      </w:r>
    </w:p>
    <w:p>
      <w:pPr>
        <w:spacing w:after="80" w:before="240"/>
      </w:pPr>
      <w:r>
        <w:rPr>
          <w:b/>
          <w:bCs/>
          <w:color w:val="E8720C"/>
          <w:spacing w:val="10"/>
          <w:sz w:val="21"/>
          <w:szCs w:val="21"/>
        </w:rPr>
        <w:t xml:space="preserve">SE PERGUNTAREM...</w:t>
      </w:r>
    </w:p>
    <w:p>
      <w:pPr>
        <w:pStyle w:val="ListParagraph"/>
        <w:numPr>
          <w:ilvl w:val="0"/>
          <w:numId w:val="2"/>
        </w:numPr>
        <w:spacing w:after="90" w:line="290"/>
      </w:pPr>
      <w:r>
        <w:rPr>
          <w:b/>
          <w:bCs/>
          <w:i/>
          <w:iCs/>
          <w:color w:val="1B2A4A"/>
          <w:sz w:val="21"/>
          <w:szCs w:val="21"/>
        </w:rPr>
        <w:t xml:space="preserve">“Por que a meta usada foi 90% e não os 95% de benchmark de mercado?” </w:t>
      </w:r>
      <w:r>
        <w:rPr>
          <w:sz w:val="21"/>
          <w:szCs w:val="21"/>
        </w:rPr>
        <w:t xml:space="preserve">90% foi definida como uma meta operacional realista para o ponto de partida desta cadeia, dado o desempenho observado na mediana dos fornecedores. 95% permanece como referência de excelência a perseguir depois que a meta de 90% for consistentemente atingida por todos.</w:t>
      </w:r>
    </w:p>
    <w:p>
      <w:pPr>
        <w:pStyle w:val="Heading2"/>
        <w:pageBreakBefore/>
        <w:pBdr>
          <w:bottom w:val="single" w:color="D9DFE7" w:sz="6" w:space="6"/>
        </w:pBdr>
        <w:spacing w:after="160" w:before="420"/>
      </w:pPr>
      <w:r>
        <w:rPr>
          <w:b/>
          <w:bCs/>
          <w:color w:val="E8720C"/>
        </w:rPr>
        <w:t xml:space="preserve">SLIDE 09  ·  </w:t>
      </w:r>
      <w:r>
        <w:rPr>
          <w:b/>
          <w:bCs/>
          <w:color w:val="1B2A4A"/>
        </w:rPr>
        <w:t xml:space="preserve">Risco de Fornecimento, Três fornecedores concentram 62% do valor de compras</w:t>
      </w:r>
    </w:p>
    <w:p>
      <w:pPr>
        <w:spacing w:after="80" w:before="240"/>
      </w:pPr>
      <w:r>
        <w:rPr>
          <w:b/>
          <w:bCs/>
          <w:color w:val="E8720C"/>
          <w:spacing w:val="10"/>
          <w:sz w:val="21"/>
          <w:szCs w:val="21"/>
        </w:rPr>
        <w:t xml:space="preserve">O QUE DIZER</w:t>
      </w:r>
    </w:p>
    <w:p>
      <w:pPr>
        <w:spacing w:after="160" w:line="300"/>
      </w:pPr>
      <w:r>
        <w:rPr>
          <w:i w:val="false"/>
          <w:iCs w:val="false"/>
          <w:color w:val="222222"/>
          <w:sz w:val="22"/>
          <w:szCs w:val="22"/>
        </w:rPr>
        <w:t xml:space="preserve">Explique a curva de concentração (gráfico da esquerda): as barras mostram a participação individual de cada fornecedor, e a linha vermelha mostra o percentual acumulado, quando a linha atinge um determinado ponto, você sabe quantos fornecedores bastam para explicar aquele percentual do total comprado.</w:t>
      </w:r>
    </w:p>
    <w:p>
      <w:pPr>
        <w:spacing w:after="160" w:line="300"/>
      </w:pPr>
      <w:r>
        <w:rPr>
          <w:i w:val="false"/>
          <w:iCs w:val="false"/>
          <w:color w:val="222222"/>
          <w:sz w:val="22"/>
          <w:szCs w:val="22"/>
        </w:rPr>
        <w:t xml:space="preserve">Aponte o número central: os 3 primeiros fornecedores já somam 62% de todo o valor de compras, e a EPI Total Equipamentos sozinha representa 36,6%, mais de um terço do abastecimento depende de uma única empresa.</w:t>
      </w:r>
    </w:p>
    <w:p>
      <w:pPr>
        <w:spacing w:after="160" w:line="300"/>
      </w:pPr>
      <w:r>
        <w:rPr>
          <w:i w:val="false"/>
          <w:iCs w:val="false"/>
          <w:color w:val="222222"/>
          <w:sz w:val="22"/>
          <w:szCs w:val="22"/>
        </w:rPr>
        <w:t xml:space="preserve">Use o gráfico da direita para mostrar que essa concentração é majoritariamente em fornecedores nacionais (69,4% do valor, com apenas 5 fornecedores), o que é bom para lead time, mas ainda assim um risco de dependência.</w:t>
      </w:r>
    </w:p>
    <w:p>
      <w:pPr>
        <w:spacing w:after="80" w:before="240"/>
      </w:pPr>
      <w:r>
        <w:rPr>
          <w:b/>
          <w:bCs/>
          <w:color w:val="E8720C"/>
          <w:spacing w:val="10"/>
          <w:sz w:val="21"/>
          <w:szCs w:val="21"/>
        </w:rPr>
        <w:t xml:space="preserve">CONCEITOS-CHAVE (COLA TÉCNICA)</w:t>
      </w:r>
    </w:p>
    <w:p>
      <w:pPr>
        <w:pStyle w:val="ListParagraph"/>
        <w:numPr>
          <w:ilvl w:val="0"/>
          <w:numId w:val="2"/>
        </w:numPr>
        <w:spacing w:after="90" w:line="290"/>
      </w:pPr>
      <w:r>
        <w:rPr>
          <w:b/>
          <w:bCs/>
          <w:color w:val="1B2A4A"/>
          <w:sz w:val="21"/>
          <w:szCs w:val="21"/>
        </w:rPr>
        <w:t xml:space="preserve">Curva de concentração / Princípio de Pareto aplicado a fornecedores: </w:t>
      </w:r>
      <w:r>
        <w:rPr>
          <w:sz w:val="21"/>
          <w:szCs w:val="21"/>
        </w:rPr>
        <w:t xml:space="preserve">análise que mede quantos fornecedores (ou produtos, ou clientes) respondem pela maior parte do valor total.</w:t>
      </w:r>
      <w:r>
        <w:rPr>
          <w:rStyle w:val="FootnoteReference"/>
        </w:rPr>
        <w:footnoteReference w:id="10"/>
      </w:r>
    </w:p>
    <w:p>
      <w:pPr>
        <w:pStyle w:val="ListParagraph"/>
        <w:numPr>
          <w:ilvl w:val="0"/>
          <w:numId w:val="2"/>
        </w:numPr>
        <w:spacing w:after="90" w:line="290"/>
      </w:pPr>
      <w:r>
        <w:rPr>
          <w:b/>
          <w:bCs/>
          <w:color w:val="1B2A4A"/>
          <w:sz w:val="21"/>
          <w:szCs w:val="21"/>
        </w:rPr>
        <w:t xml:space="preserve">Risco de concentração / dependência de fornecedor único: </w:t>
      </w:r>
      <w:r>
        <w:rPr>
          <w:sz w:val="21"/>
          <w:szCs w:val="21"/>
        </w:rPr>
        <w:t xml:space="preserve">vulnerabilidade que existe quando uma parcela desproporcional do fornecimento depende de uma única fonte.</w:t>
      </w:r>
    </w:p>
    <w:p>
      <w:pPr>
        <w:spacing w:after="80" w:before="240"/>
      </w:pPr>
      <w:r>
        <w:rPr>
          <w:b/>
          <w:bCs/>
          <w:color w:val="E8720C"/>
          <w:spacing w:val="10"/>
          <w:sz w:val="21"/>
          <w:szCs w:val="21"/>
        </w:rPr>
        <w:t xml:space="preserve">EXEMPLO PRÁTICO</w:t>
      </w:r>
    </w:p>
    <w:p>
      <w:pPr>
        <w:spacing w:after="160" w:line="300"/>
      </w:pPr>
      <w:r>
        <w:rPr>
          <w:i w:val="false"/>
          <w:iCs w:val="false"/>
          <w:color w:val="222222"/>
          <w:sz w:val="22"/>
          <w:szCs w:val="22"/>
        </w:rPr>
        <w:t xml:space="preserve">Se a EPI Total Equipamentos (36,6% do valor de compras) tivesse uma parada de produção, uma crise financeira ou um problema de qualidade grave, mais de um terço de todo o abastecimento da cadeia ficaria comprometido de uma vez, um risco que não aparece em nenhum indicador de desempenho isolado (o fornecedor pode ter ótimo OTIF e ainda assim representar esse risco estrutural).</w:t>
      </w:r>
    </w:p>
    <w:p>
      <w:pPr>
        <w:spacing w:after="80" w:before="240"/>
      </w:pPr>
      <w:r>
        <w:rPr>
          <w:b/>
          <w:bCs/>
          <w:color w:val="E8720C"/>
          <w:spacing w:val="10"/>
          <w:sz w:val="21"/>
          <w:szCs w:val="21"/>
        </w:rPr>
        <w:t xml:space="preserve">SE PERGUNTAREM...</w:t>
      </w:r>
    </w:p>
    <w:p>
      <w:pPr>
        <w:pStyle w:val="ListParagraph"/>
        <w:numPr>
          <w:ilvl w:val="0"/>
          <w:numId w:val="2"/>
        </w:numPr>
        <w:spacing w:after="90" w:line="290"/>
      </w:pPr>
      <w:r>
        <w:rPr>
          <w:b/>
          <w:bCs/>
          <w:i/>
          <w:iCs/>
          <w:color w:val="1B2A4A"/>
          <w:sz w:val="21"/>
          <w:szCs w:val="21"/>
        </w:rPr>
        <w:t xml:space="preserve">“Ter um fornecedor concentrado é sempre um erro de gestão?” </w:t>
      </w:r>
      <w:r>
        <w:rPr>
          <w:sz w:val="21"/>
          <w:szCs w:val="21"/>
        </w:rPr>
        <w:t xml:space="preserve">Não necessariamente, muitas vezes reflete uma relação de confiança e eficiência construída ao longo do tempo. O ponto do slide não é dizer que é errado, é dizer que é um risco que precisa de um plano de contingência (fornecedor alternativo qualificado), não que precisa ser eliminado às cegas.</w:t>
      </w:r>
    </w:p>
    <w:p>
      <w:pPr>
        <w:pStyle w:val="Heading2"/>
        <w:pageBreakBefore/>
        <w:pBdr>
          <w:bottom w:val="single" w:color="D9DFE7" w:sz="6" w:space="6"/>
        </w:pBdr>
        <w:spacing w:after="160" w:before="420"/>
      </w:pPr>
      <w:r>
        <w:rPr>
          <w:b/>
          <w:bCs/>
          <w:color w:val="E8720C"/>
        </w:rPr>
        <w:t xml:space="preserve">SLIDE 10  ·  </w:t>
      </w:r>
      <w:r>
        <w:rPr>
          <w:b/>
          <w:bCs/>
          <w:color w:val="1B2A4A"/>
        </w:rPr>
        <w:t xml:space="preserve">Segmentação de Fornecedores, K-means separa os 10 em 3 perfis de risco</w:t>
      </w:r>
    </w:p>
    <w:p>
      <w:pPr>
        <w:spacing w:after="80" w:before="240"/>
      </w:pPr>
      <w:r>
        <w:rPr>
          <w:b/>
          <w:bCs/>
          <w:color w:val="E8720C"/>
          <w:spacing w:val="10"/>
          <w:sz w:val="21"/>
          <w:szCs w:val="21"/>
        </w:rPr>
        <w:t xml:space="preserve">O QUE DIZER</w:t>
      </w:r>
    </w:p>
    <w:p>
      <w:pPr>
        <w:spacing w:after="160" w:line="300"/>
      </w:pPr>
      <w:r>
        <w:rPr>
          <w:i w:val="false"/>
          <w:iCs w:val="false"/>
          <w:color w:val="222222"/>
          <w:sz w:val="22"/>
          <w:szCs w:val="22"/>
        </w:rPr>
        <w:t xml:space="preserve">Explique o que é clusterização em uma frase simples antes de mostrar os números: “em vez de eu decidir manualmente quais fornecedores são bons ou ruins, eu deixei um algoritmo agrupar os 10 fornecedores por similaridade em 4 variáveis ao mesmo tempo, OTIF, lead time médio, variabilidade do lead time e custo de frete.”</w:t>
      </w:r>
    </w:p>
    <w:p>
      <w:pPr>
        <w:spacing w:after="160" w:line="300"/>
      </w:pPr>
      <w:r>
        <w:rPr>
          <w:i w:val="false"/>
          <w:iCs w:val="false"/>
          <w:color w:val="222222"/>
          <w:sz w:val="22"/>
          <w:szCs w:val="22"/>
        </w:rPr>
        <w:t xml:space="preserve">Apresente os 3 grupos resultantes, um a um, com a ação recomendada de cada: Estratégicos (verde), expandir e priorizar; Distantes (amarelo), manter só sem alternativa nacional; Críticos (vermelho), substituição prioritária.</w:t>
      </w:r>
    </w:p>
    <w:p>
      <w:pPr>
        <w:spacing w:after="160" w:line="300"/>
      </w:pPr>
      <w:r>
        <w:rPr>
          <w:i w:val="false"/>
          <w:iCs w:val="false"/>
          <w:color w:val="222222"/>
          <w:sz w:val="22"/>
          <w:szCs w:val="22"/>
        </w:rPr>
        <w:t xml:space="preserve">Destaque que o grupo Estratégico, mesmo sendo o mais numeroso (6 de 10), também é o mais barato e confiável, não existe trade-off entre volume e qualidade nesse caso, o que reforça a viabilidade de expandir esse grupo.</w:t>
      </w:r>
    </w:p>
    <w:p>
      <w:pPr>
        <w:spacing w:after="80" w:before="240"/>
      </w:pPr>
      <w:r>
        <w:rPr>
          <w:b/>
          <w:bCs/>
          <w:color w:val="E8720C"/>
          <w:spacing w:val="10"/>
          <w:sz w:val="21"/>
          <w:szCs w:val="21"/>
        </w:rPr>
        <w:t xml:space="preserve">CONCEITOS-CHAVE (COLA TÉCNICA)</w:t>
      </w:r>
    </w:p>
    <w:p>
      <w:pPr>
        <w:pStyle w:val="ListParagraph"/>
        <w:numPr>
          <w:ilvl w:val="0"/>
          <w:numId w:val="2"/>
        </w:numPr>
        <w:spacing w:after="90" w:line="290"/>
      </w:pPr>
      <w:r>
        <w:rPr>
          <w:b/>
          <w:bCs/>
          <w:color w:val="1B2A4A"/>
          <w:sz w:val="21"/>
          <w:szCs w:val="21"/>
        </w:rPr>
        <w:t xml:space="preserve">K-means: </w:t>
      </w:r>
      <w:r>
        <w:rPr>
          <w:sz w:val="21"/>
          <w:szCs w:val="21"/>
        </w:rPr>
        <w:t xml:space="preserve">algoritmo de aprendizado não supervisionado que agrupa pontos de dados em K grupos (clusters), minimizando a distância entre pontos do mesmo grupo e maximizando a distância entre grupos diferentes.</w:t>
      </w:r>
      <w:r>
        <w:rPr>
          <w:rStyle w:val="FootnoteReference"/>
        </w:rPr>
        <w:footnoteReference w:id="11"/>
      </w:r>
    </w:p>
    <w:p>
      <w:pPr>
        <w:pStyle w:val="ListParagraph"/>
        <w:numPr>
          <w:ilvl w:val="0"/>
          <w:numId w:val="2"/>
        </w:numPr>
        <w:spacing w:after="90" w:line="290"/>
      </w:pPr>
      <w:r>
        <w:rPr>
          <w:b/>
          <w:bCs/>
          <w:color w:val="1B2A4A"/>
          <w:sz w:val="21"/>
          <w:szCs w:val="21"/>
        </w:rPr>
        <w:t xml:space="preserve">Elbow Method e Silhouette Score: </w:t>
      </w:r>
      <w:r>
        <w:rPr>
          <w:sz w:val="21"/>
          <w:szCs w:val="21"/>
        </w:rPr>
        <w:t xml:space="preserve">duas métricas usadas para escolher o número ideal de clusters (K) antes de rodar o algoritmo final.</w:t>
      </w:r>
      <w:r>
        <w:rPr>
          <w:rStyle w:val="FootnoteReference"/>
        </w:rPr>
        <w:footnoteReference w:id="12"/>
      </w:r>
    </w:p>
    <w:p>
      <w:pPr>
        <w:pStyle w:val="ListParagraph"/>
        <w:numPr>
          <w:ilvl w:val="0"/>
          <w:numId w:val="2"/>
        </w:numPr>
        <w:spacing w:after="90" w:line="290"/>
      </w:pPr>
      <w:r>
        <w:rPr>
          <w:b/>
          <w:bCs/>
          <w:color w:val="1B2A4A"/>
          <w:sz w:val="21"/>
          <w:szCs w:val="21"/>
        </w:rPr>
        <w:t xml:space="preserve">StandardScaler: </w:t>
      </w:r>
      <w:r>
        <w:rPr>
          <w:sz w:val="21"/>
          <w:szCs w:val="21"/>
        </w:rPr>
        <w:t xml:space="preserve">técnica de normalização que transforma cada variável para ter média 0 e desvio padrão 1 antes de calcular distâncias.</w:t>
      </w:r>
      <w:r>
        <w:rPr>
          <w:rStyle w:val="FootnoteReference"/>
        </w:rPr>
        <w:footnoteReference w:id="13"/>
      </w:r>
    </w:p>
    <w:p>
      <w:pPr>
        <w:spacing w:after="80" w:before="240"/>
      </w:pPr>
      <w:r>
        <w:rPr>
          <w:b/>
          <w:bCs/>
          <w:color w:val="E8720C"/>
          <w:spacing w:val="10"/>
          <w:sz w:val="21"/>
          <w:szCs w:val="21"/>
        </w:rPr>
        <w:t xml:space="preserve">EXEMPLO PRÁTICO</w:t>
      </w:r>
    </w:p>
    <w:p>
      <w:pPr>
        <w:spacing w:after="160" w:line="300"/>
      </w:pPr>
      <w:r>
        <w:rPr>
          <w:i w:val="false"/>
          <w:iCs w:val="false"/>
          <w:color w:val="222222"/>
          <w:sz w:val="22"/>
          <w:szCs w:val="22"/>
        </w:rPr>
        <w:t xml:space="preserve">O Cluster Crítico (🔴) tem apenas 2 fornecedores, mas reúne o pior desempenho em todas as dimensões ao mesmo tempo: OTIF de 74,7% (falham em 1 de cada 4 entregas), lead time de 40,8 dias e o maior desvio padrão de lead time (8,0 dias, o mais imprevisível da base). É essa combinação simultânea de vários sinais ruins que o clustering captura de forma mais rica do que olhar cada métrica isoladamente.</w:t>
      </w:r>
    </w:p>
    <w:p>
      <w:pPr>
        <w:spacing w:after="80" w:before="240"/>
      </w:pPr>
      <w:r>
        <w:rPr>
          <w:b/>
          <w:bCs/>
          <w:color w:val="E8720C"/>
          <w:spacing w:val="10"/>
          <w:sz w:val="21"/>
          <w:szCs w:val="21"/>
        </w:rPr>
        <w:t xml:space="preserve">SE PERGUNTAREM...</w:t>
      </w:r>
    </w:p>
    <w:p>
      <w:pPr>
        <w:pStyle w:val="ListParagraph"/>
        <w:numPr>
          <w:ilvl w:val="0"/>
          <w:numId w:val="2"/>
        </w:numPr>
        <w:spacing w:after="90" w:line="290"/>
      </w:pPr>
      <w:r>
        <w:rPr>
          <w:b/>
          <w:bCs/>
          <w:i/>
          <w:iCs/>
          <w:color w:val="1B2A4A"/>
          <w:sz w:val="21"/>
          <w:szCs w:val="21"/>
        </w:rPr>
        <w:t xml:space="preserve">“Por que a taxa de ruptura não entrou nas variáveis finais do cluster?” </w:t>
      </w:r>
      <w:r>
        <w:rPr>
          <w:sz w:val="21"/>
          <w:szCs w:val="21"/>
        </w:rPr>
        <w:t xml:space="preserve">No notebook, testar com e sem essa variável mostrou que removê-la produzia grupos mais bem separados (Silhouette Score maior), Silver, Pyke e Thomas descrevem esse tipo de ajuste iterativo como normal em clusterização: a escolha final de variáveis é orientada pelo resultado estatístico, não por preferência prévia.</w:t>
      </w:r>
    </w:p>
    <w:p>
      <w:pPr>
        <w:pStyle w:val="Heading2"/>
        <w:pageBreakBefore/>
        <w:pBdr>
          <w:bottom w:val="single" w:color="D9DFE7" w:sz="6" w:space="6"/>
        </w:pBdr>
        <w:spacing w:after="160" w:before="420"/>
      </w:pPr>
      <w:r>
        <w:rPr>
          <w:b/>
          <w:bCs/>
          <w:color w:val="E8720C"/>
        </w:rPr>
        <w:t xml:space="preserve">SLIDE 11  ·  </w:t>
      </w:r>
      <w:r>
        <w:rPr>
          <w:b/>
          <w:bCs/>
          <w:color w:val="1B2A4A"/>
        </w:rPr>
        <w:t xml:space="preserve">Classificação ABC, 35% dos produtos respondem por quase 80% do valor</w:t>
      </w:r>
    </w:p>
    <w:p>
      <w:pPr>
        <w:spacing w:after="80" w:before="240"/>
      </w:pPr>
      <w:r>
        <w:rPr>
          <w:b/>
          <w:bCs/>
          <w:color w:val="E8720C"/>
          <w:spacing w:val="10"/>
          <w:sz w:val="21"/>
          <w:szCs w:val="21"/>
        </w:rPr>
        <w:t xml:space="preserve">O QUE DIZER</w:t>
      </w:r>
    </w:p>
    <w:p>
      <w:pPr>
        <w:spacing w:after="160" w:line="300"/>
      </w:pPr>
      <w:r>
        <w:rPr>
          <w:i w:val="false"/>
          <w:iCs w:val="false"/>
          <w:color w:val="222222"/>
          <w:sz w:val="22"/>
          <w:szCs w:val="22"/>
        </w:rPr>
        <w:t xml:space="preserve">Explique a lógica da Curva ABC antes do gráfico: ordena-se os produtos do maior para o menor valor consumido, calcula-se o percentual acumulado, e se define onde cortar as classes A, B e C.</w:t>
      </w:r>
    </w:p>
    <w:p>
      <w:pPr>
        <w:spacing w:after="160" w:line="300"/>
      </w:pPr>
      <w:r>
        <w:rPr>
          <w:i w:val="false"/>
          <w:iCs w:val="false"/>
          <w:color w:val="222222"/>
          <w:sz w:val="22"/>
          <w:szCs w:val="22"/>
        </w:rPr>
        <w:t xml:space="preserve">Mostre a curva subindo rápido no início (Classe A) e depois quase achatando (Classe C), reforçando visualmente que poucos produtos concentram a maior parte do valor.</w:t>
      </w:r>
    </w:p>
    <w:p>
      <w:pPr>
        <w:spacing w:after="160" w:line="300"/>
      </w:pPr>
      <w:r>
        <w:rPr>
          <w:i w:val="false"/>
          <w:iCs w:val="false"/>
          <w:color w:val="222222"/>
          <w:sz w:val="22"/>
          <w:szCs w:val="22"/>
        </w:rPr>
        <w:t xml:space="preserve">Feche com a implicação de gestão: o esforço de controle deve ser inversamente proporcional ao número de itens, máxima atenção nos 7 produtos A, atenção moderada nos 6 B, gestão simplificada nos 7 C.</w:t>
      </w:r>
    </w:p>
    <w:p>
      <w:pPr>
        <w:spacing w:after="80" w:before="240"/>
      </w:pPr>
      <w:r>
        <w:rPr>
          <w:b/>
          <w:bCs/>
          <w:color w:val="E8720C"/>
          <w:spacing w:val="10"/>
          <w:sz w:val="21"/>
          <w:szCs w:val="21"/>
        </w:rPr>
        <w:t xml:space="preserve">CONCEITOS-CHAVE (COLA TÉCNICA)</w:t>
      </w:r>
    </w:p>
    <w:p>
      <w:pPr>
        <w:pStyle w:val="ListParagraph"/>
        <w:numPr>
          <w:ilvl w:val="0"/>
          <w:numId w:val="2"/>
        </w:numPr>
        <w:spacing w:after="90" w:line="290"/>
      </w:pPr>
      <w:r>
        <w:rPr>
          <w:b/>
          <w:bCs/>
          <w:color w:val="1B2A4A"/>
          <w:sz w:val="21"/>
          <w:szCs w:val="21"/>
        </w:rPr>
        <w:t xml:space="preserve">Classificação ABC / Princípio de Pareto (regra 80/20): </w:t>
      </w:r>
      <w:r>
        <w:rPr>
          <w:sz w:val="21"/>
          <w:szCs w:val="21"/>
        </w:rPr>
        <w:t xml:space="preserve">método que ordena itens pelo valor de consumo e os agrupa em três classes conforme a participação acumulada no valor total.</w:t>
      </w:r>
      <w:r>
        <w:rPr>
          <w:rStyle w:val="FootnoteReference"/>
        </w:rPr>
        <w:footnoteReference w:id="14"/>
      </w:r>
    </w:p>
    <w:p>
      <w:pPr>
        <w:spacing w:after="80" w:before="240"/>
      </w:pPr>
      <w:r>
        <w:rPr>
          <w:b/>
          <w:bCs/>
          <w:color w:val="E8720C"/>
          <w:spacing w:val="10"/>
          <w:sz w:val="21"/>
          <w:szCs w:val="21"/>
        </w:rPr>
        <w:t xml:space="preserve">EXEMPLO PRÁTICO</w:t>
      </w:r>
    </w:p>
    <w:p>
      <w:pPr>
        <w:spacing w:after="160" w:line="300"/>
      </w:pPr>
      <w:r>
        <w:rPr>
          <w:i w:val="false"/>
          <w:iCs w:val="false"/>
          <w:color w:val="222222"/>
          <w:sz w:val="22"/>
          <w:szCs w:val="22"/>
        </w:rPr>
        <w:t xml:space="preserve">Apenas 7 produtos (35% do portfólio de 20 itens) respondem por 78,6% de todo o valor consumido, R$ 131,4 milhões de um total de R$ 167,2 milhões. Do outro lado, os 7 produtos da Classe C somam apenas 6,3% do valor (R$ 10,5 milhões), consumindo esforço de gestão desproporcional ao seu retorno financeiro se tratados com o mesmo rigor da Classe A.</w:t>
      </w:r>
    </w:p>
    <w:p>
      <w:pPr>
        <w:spacing w:after="80" w:before="240"/>
      </w:pPr>
      <w:r>
        <w:rPr>
          <w:b/>
          <w:bCs/>
          <w:color w:val="E8720C"/>
          <w:spacing w:val="10"/>
          <w:sz w:val="21"/>
          <w:szCs w:val="21"/>
        </w:rPr>
        <w:t xml:space="preserve">SE PERGUNTAREM...</w:t>
      </w:r>
    </w:p>
    <w:p>
      <w:pPr>
        <w:pStyle w:val="ListParagraph"/>
        <w:numPr>
          <w:ilvl w:val="0"/>
          <w:numId w:val="2"/>
        </w:numPr>
        <w:spacing w:after="90" w:line="290"/>
      </w:pPr>
      <w:r>
        <w:rPr>
          <w:b/>
          <w:bCs/>
          <w:i/>
          <w:iCs/>
          <w:color w:val="1B2A4A"/>
          <w:sz w:val="21"/>
          <w:szCs w:val="21"/>
        </w:rPr>
        <w:t xml:space="preserve">“Por que os cortes são exatamente 80% e 95%, e não outros valores?” </w:t>
      </w:r>
      <w:r>
        <w:rPr>
          <w:sz w:val="21"/>
          <w:szCs w:val="21"/>
        </w:rPr>
        <w:t xml:space="preserve">É uma convenção amplamente usada em gestão de estoque (derivada do princípio de Pareto observado por Vilfredo Pareto no século XIX), mas pode, e deve, ser recalibrada conforme a realidade de cada negócio; alguns setores usam 70/90, por exemplo.</w:t>
      </w:r>
    </w:p>
    <w:p>
      <w:pPr>
        <w:pStyle w:val="Heading2"/>
        <w:pageBreakBefore/>
        <w:pBdr>
          <w:bottom w:val="single" w:color="D9DFE7" w:sz="6" w:space="6"/>
        </w:pBdr>
        <w:spacing w:after="160" w:before="420"/>
      </w:pPr>
      <w:r>
        <w:rPr>
          <w:b/>
          <w:bCs/>
          <w:color w:val="E8720C"/>
        </w:rPr>
        <w:t xml:space="preserve">SLIDE 12  ·  </w:t>
      </w:r>
      <w:r>
        <w:rPr>
          <w:b/>
          <w:bCs/>
          <w:color w:val="1B2A4A"/>
        </w:rPr>
        <w:t xml:space="preserve">Matriz ABC-XYZ, O quadrante AY concentra R$ 100 milhões em demanda instável</w:t>
      </w:r>
    </w:p>
    <w:p>
      <w:pPr>
        <w:spacing w:after="80" w:before="240"/>
      </w:pPr>
      <w:r>
        <w:rPr>
          <w:b/>
          <w:bCs/>
          <w:color w:val="E8720C"/>
          <w:spacing w:val="10"/>
          <w:sz w:val="21"/>
          <w:szCs w:val="21"/>
        </w:rPr>
        <w:t xml:space="preserve">O QUE DIZER</w:t>
      </w:r>
    </w:p>
    <w:p>
      <w:pPr>
        <w:spacing w:after="160" w:line="300"/>
      </w:pPr>
      <w:r>
        <w:rPr>
          <w:i w:val="false"/>
          <w:iCs w:val="false"/>
          <w:color w:val="222222"/>
          <w:sz w:val="22"/>
          <w:szCs w:val="22"/>
        </w:rPr>
        <w:t xml:space="preserve">Antes do gráfico, explique que a Classificação ABC (valor) sozinha não conta a história toda, porque não diz nada sobre o quão previsível é a demanda de cada item, e é aí que entra a Classificação XYZ.</w:t>
      </w:r>
    </w:p>
    <w:p>
      <w:pPr>
        <w:spacing w:after="160" w:line="300"/>
      </w:pPr>
      <w:r>
        <w:rPr>
          <w:i w:val="false"/>
          <w:iCs w:val="false"/>
          <w:color w:val="222222"/>
          <w:sz w:val="22"/>
          <w:szCs w:val="22"/>
        </w:rPr>
        <w:t xml:space="preserve">Mostre o cruzamento das duas matrizes (quantidade de produtos e valor por quadrante) e leve a audiência direto ao quadrante crítico: AY, alto valor (A) com demanda variável (Y).</w:t>
      </w:r>
    </w:p>
    <w:p>
      <w:pPr>
        <w:spacing w:after="160" w:line="300"/>
      </w:pPr>
      <w:r>
        <w:rPr>
          <w:i w:val="false"/>
          <w:iCs w:val="false"/>
          <w:color w:val="222222"/>
          <w:sz w:val="22"/>
          <w:szCs w:val="22"/>
        </w:rPr>
        <w:t xml:space="preserve">Destaque o número mais importante do slide: 5 produtos, apenas 5, concentram cerca de 60% de todo o valor financeiro do portfólio, e ao mesmo tempo têm demanda difícil de prever. Essa combinação é o motivo pelo qual as duas últimas etapas do projeto (previsão de demanda e otimização de estoque) focam exclusivamente nesses 5 itens.</w:t>
      </w:r>
    </w:p>
    <w:p>
      <w:pPr>
        <w:spacing w:after="80" w:before="240"/>
      </w:pPr>
      <w:r>
        <w:rPr>
          <w:b/>
          <w:bCs/>
          <w:color w:val="E8720C"/>
          <w:spacing w:val="10"/>
          <w:sz w:val="21"/>
          <w:szCs w:val="21"/>
        </w:rPr>
        <w:t xml:space="preserve">CONCEITOS-CHAVE (COLA TÉCNICA)</w:t>
      </w:r>
    </w:p>
    <w:p>
      <w:pPr>
        <w:pStyle w:val="ListParagraph"/>
        <w:numPr>
          <w:ilvl w:val="0"/>
          <w:numId w:val="2"/>
        </w:numPr>
        <w:spacing w:after="90" w:line="290"/>
      </w:pPr>
      <w:r>
        <w:rPr>
          <w:b/>
          <w:bCs/>
          <w:color w:val="1B2A4A"/>
          <w:sz w:val="21"/>
          <w:szCs w:val="21"/>
        </w:rPr>
        <w:t xml:space="preserve">Classificação XYZ: </w:t>
      </w:r>
      <w:r>
        <w:rPr>
          <w:sz w:val="21"/>
          <w:szCs w:val="21"/>
        </w:rPr>
        <w:t xml:space="preserve">classifica produtos pela variabilidade (imprevisibilidade) da demanda, em vez do valor financeiro.</w:t>
      </w:r>
      <w:r>
        <w:rPr>
          <w:rStyle w:val="FootnoteReference"/>
        </w:rPr>
        <w:footnoteReference w:id="15"/>
      </w:r>
    </w:p>
    <w:p>
      <w:pPr>
        <w:pStyle w:val="ListParagraph"/>
        <w:numPr>
          <w:ilvl w:val="0"/>
          <w:numId w:val="2"/>
        </w:numPr>
        <w:spacing w:after="90" w:line="290"/>
      </w:pPr>
      <w:r>
        <w:rPr>
          <w:b/>
          <w:bCs/>
          <w:color w:val="1B2A4A"/>
          <w:sz w:val="21"/>
          <w:szCs w:val="21"/>
        </w:rPr>
        <w:t xml:space="preserve">Coeficiente de Variação (CV): </w:t>
      </w:r>
      <w:r>
        <w:rPr>
          <w:sz w:val="21"/>
          <w:szCs w:val="21"/>
        </w:rPr>
        <w:t xml:space="preserve">medida estatística de variabilidade relativa, calculada como desvio padrão dividido pela média, geralmente expressa em percentual.</w:t>
      </w:r>
      <w:r>
        <w:rPr>
          <w:rStyle w:val="FootnoteReference"/>
        </w:rPr>
        <w:footnoteReference w:id="16"/>
      </w:r>
    </w:p>
    <w:p>
      <w:pPr>
        <w:pStyle w:val="ListParagraph"/>
        <w:numPr>
          <w:ilvl w:val="0"/>
          <w:numId w:val="2"/>
        </w:numPr>
        <w:spacing w:after="90" w:line="290"/>
      </w:pPr>
      <w:r>
        <w:rPr>
          <w:b/>
          <w:bCs/>
          <w:color w:val="1B2A4A"/>
          <w:sz w:val="21"/>
          <w:szCs w:val="21"/>
        </w:rPr>
        <w:t xml:space="preserve">Matriz ABC-XYZ: </w:t>
      </w:r>
      <w:r>
        <w:rPr>
          <w:sz w:val="21"/>
          <w:szCs w:val="21"/>
        </w:rPr>
        <w:t xml:space="preserve">cruzamento das duas classificações (valor × previsibilidade) em uma grade de 9 quadrantes (AX, AY, AZ, BX, BY, BZ, CX, CY, CZ), cada um com uma política de estoque recomendada diferente.</w:t>
      </w:r>
    </w:p>
    <w:p>
      <w:pPr>
        <w:spacing w:after="80" w:before="240"/>
      </w:pPr>
      <w:r>
        <w:rPr>
          <w:b/>
          <w:bCs/>
          <w:color w:val="E8720C"/>
          <w:spacing w:val="10"/>
          <w:sz w:val="21"/>
          <w:szCs w:val="21"/>
        </w:rPr>
        <w:t xml:space="preserve">EXEMPLO PRÁTICO</w:t>
      </w:r>
    </w:p>
    <w:p>
      <w:pPr>
        <w:spacing w:after="160" w:line="300"/>
      </w:pPr>
      <w:r>
        <w:rPr>
          <w:i w:val="false"/>
          <w:iCs w:val="false"/>
          <w:color w:val="222222"/>
          <w:sz w:val="22"/>
          <w:szCs w:val="22"/>
        </w:rPr>
        <w:t xml:space="preserve">O produto “Luva de Proteção CA” tem demanda média mensal de 40.986 unidades com desvio padrão de 9.700, o que dá um CV de aproximadamente 0,24, ou 24%. Como esse número está entre 20% e 50%, o produto é classificado como Y (moderadamente variável). Combinado ao fato de ser um produto de altíssimo valor consumido (Classe A), ele cai exatamente no quadrante crítico AY.</w:t>
      </w:r>
    </w:p>
    <w:p>
      <w:pPr>
        <w:spacing w:after="80" w:before="240"/>
      </w:pPr>
      <w:r>
        <w:rPr>
          <w:b/>
          <w:bCs/>
          <w:color w:val="E8720C"/>
          <w:spacing w:val="10"/>
          <w:sz w:val="21"/>
          <w:szCs w:val="21"/>
        </w:rPr>
        <w:t xml:space="preserve">SE PERGUNTAREM...</w:t>
      </w:r>
    </w:p>
    <w:p>
      <w:pPr>
        <w:pStyle w:val="ListParagraph"/>
        <w:numPr>
          <w:ilvl w:val="0"/>
          <w:numId w:val="2"/>
        </w:numPr>
        <w:spacing w:after="90" w:line="290"/>
      </w:pPr>
      <w:r>
        <w:rPr>
          <w:b/>
          <w:bCs/>
          <w:i/>
          <w:iCs/>
          <w:color w:val="1B2A4A"/>
          <w:sz w:val="21"/>
          <w:szCs w:val="21"/>
        </w:rPr>
        <w:t xml:space="preserve">“Por que cruzar ABC com XYZ em vez de usar só a Curva ABC do slide anterior?” </w:t>
      </w:r>
      <w:r>
        <w:rPr>
          <w:sz w:val="21"/>
          <w:szCs w:val="21"/>
        </w:rPr>
        <w:t xml:space="preserve">Porque um produto pode ter alto valor e ainda assim ser fácil de prever (quadrante AX, ideal, permite reposição automatizada e enxuta) ou ter alto valor e ser imprevisível (AY ou AZ, exige estoque de segurança robusto e monitoramento ativo). Sem o XYZ, esses dois cenários muito diferentes receberiam o mesmo tratamento de gestão, o que seria ineficiente nos dois sentidos.</w:t>
      </w:r>
    </w:p>
    <w:p>
      <w:pPr>
        <w:pStyle w:val="Heading2"/>
        <w:pageBreakBefore/>
        <w:pBdr>
          <w:bottom w:val="single" w:color="D9DFE7" w:sz="6" w:space="6"/>
        </w:pBdr>
        <w:spacing w:after="160" w:before="420"/>
      </w:pPr>
      <w:r>
        <w:rPr>
          <w:b/>
          <w:bCs/>
          <w:color w:val="E8720C"/>
        </w:rPr>
        <w:t xml:space="preserve">SLIDE 13  ·  </w:t>
      </w:r>
      <w:r>
        <w:rPr>
          <w:b/>
          <w:bCs/>
          <w:color w:val="1B2A4A"/>
        </w:rPr>
        <w:t xml:space="preserve">Previsão de Demanda, Nenhum modelo erra menos de 10%</w:t>
      </w:r>
    </w:p>
    <w:p>
      <w:pPr>
        <w:spacing w:after="80" w:before="240"/>
      </w:pPr>
      <w:r>
        <w:rPr>
          <w:b/>
          <w:bCs/>
          <w:color w:val="E8720C"/>
          <w:spacing w:val="10"/>
          <w:sz w:val="21"/>
          <w:szCs w:val="21"/>
        </w:rPr>
        <w:t xml:space="preserve">O QUE DIZER</w:t>
      </w:r>
    </w:p>
    <w:p>
      <w:pPr>
        <w:spacing w:after="160" w:line="300"/>
      </w:pPr>
      <w:r>
        <w:rPr>
          <w:i w:val="false"/>
          <w:iCs w:val="false"/>
          <w:color w:val="222222"/>
          <w:sz w:val="22"/>
          <w:szCs w:val="22"/>
        </w:rPr>
        <w:t xml:space="preserve">Explique rapidamente os 4 modelos testados, sem entrar em matemática pesada: Holt-Winters e SARIMA são modelos estatísticos clássicos de série temporal (capturam tendência e sazonalidade); XGBoost é machine learning baseado em variáveis defasadas (o que aconteceu nos últimos meses); Prophet é um modelo bayesiano do Facebook/Meta, feito para lidar com mudanças de tendência.</w:t>
      </w:r>
    </w:p>
    <w:p>
      <w:pPr>
        <w:spacing w:after="160" w:line="300"/>
      </w:pPr>
      <w:r>
        <w:rPr>
          <w:i w:val="false"/>
          <w:iCs w:val="false"/>
          <w:color w:val="222222"/>
          <w:sz w:val="22"/>
          <w:szCs w:val="22"/>
        </w:rPr>
        <w:t xml:space="preserve">Mostre o gráfico de MAPE por produto e modelo, e aponte o padrão: Holt-Winters venceu ou empatou em 3 dos 5 produtos; Prophet foi consistentemente o pior modelo neste portfólio específico, chegando a 55% de erro no pior caso.</w:t>
      </w:r>
    </w:p>
    <w:p>
      <w:pPr>
        <w:spacing w:after="160" w:line="300"/>
      </w:pPr>
      <w:r>
        <w:rPr>
          <w:i w:val="false"/>
          <w:iCs w:val="false"/>
          <w:color w:val="222222"/>
          <w:sz w:val="22"/>
          <w:szCs w:val="22"/>
        </w:rPr>
        <w:t xml:space="preserve">Feche com a mensagem-chave: nenhum modelo, para nenhum produto, atingiu MAPE abaixo de 10%, isso não é uma falha da modelagem, é evidência de que a demanda desses 5 itens é genuinamente difícil de prever, o que justifica um estoque de segurança robusto independentemente de qual modelo for usado.</w:t>
      </w:r>
    </w:p>
    <w:p>
      <w:pPr>
        <w:spacing w:after="80" w:before="240"/>
      </w:pPr>
      <w:r>
        <w:rPr>
          <w:b/>
          <w:bCs/>
          <w:color w:val="E8720C"/>
          <w:spacing w:val="10"/>
          <w:sz w:val="21"/>
          <w:szCs w:val="21"/>
        </w:rPr>
        <w:t xml:space="preserve">CONCEITOS-CHAVE (COLA TÉCNICA)</w:t>
      </w:r>
    </w:p>
    <w:p>
      <w:pPr>
        <w:pStyle w:val="ListParagraph"/>
        <w:numPr>
          <w:ilvl w:val="0"/>
          <w:numId w:val="2"/>
        </w:numPr>
        <w:spacing w:after="90" w:line="290"/>
      </w:pPr>
      <w:r>
        <w:rPr>
          <w:b/>
          <w:bCs/>
          <w:color w:val="1B2A4A"/>
          <w:sz w:val="21"/>
          <w:szCs w:val="21"/>
        </w:rPr>
        <w:t xml:space="preserve">MAPE: </w:t>
      </w:r>
      <w:r>
        <w:rPr>
          <w:sz w:val="21"/>
          <w:szCs w:val="21"/>
        </w:rPr>
        <w:t xml:space="preserve">Mean Absolute Percentage Error, erro percentual absoluto médio entre o valor previsto e o valor real.</w:t>
      </w:r>
      <w:r>
        <w:rPr>
          <w:rStyle w:val="FootnoteReference"/>
        </w:rPr>
        <w:footnoteReference w:id="17"/>
      </w:r>
    </w:p>
    <w:p>
      <w:pPr>
        <w:pStyle w:val="ListParagraph"/>
        <w:numPr>
          <w:ilvl w:val="0"/>
          <w:numId w:val="2"/>
        </w:numPr>
        <w:spacing w:after="90" w:line="290"/>
      </w:pPr>
      <w:r>
        <w:rPr>
          <w:b/>
          <w:bCs/>
          <w:color w:val="1B2A4A"/>
          <w:sz w:val="21"/>
          <w:szCs w:val="21"/>
        </w:rPr>
        <w:t xml:space="preserve">Walk-Forward Validation: </w:t>
      </w:r>
      <w:r>
        <w:rPr>
          <w:sz w:val="21"/>
          <w:szCs w:val="21"/>
        </w:rPr>
        <w:t xml:space="preserve">técnica de validação de modelos de série temporal que respeita a ordem cronológica: sempre treina no passado e testa no futuro, avançando passo a passo.</w:t>
      </w:r>
      <w:r>
        <w:rPr>
          <w:rStyle w:val="FootnoteReference"/>
        </w:rPr>
        <w:footnoteReference w:id="18"/>
      </w:r>
    </w:p>
    <w:p>
      <w:pPr>
        <w:pStyle w:val="ListParagraph"/>
        <w:numPr>
          <w:ilvl w:val="0"/>
          <w:numId w:val="2"/>
        </w:numPr>
        <w:spacing w:after="90" w:line="290"/>
      </w:pPr>
      <w:r>
        <w:rPr>
          <w:b/>
          <w:bCs/>
          <w:color w:val="1B2A4A"/>
          <w:sz w:val="21"/>
          <w:szCs w:val="21"/>
        </w:rPr>
        <w:t xml:space="preserve">Holt-Winters, SARIMA, XGBoost, Prophet: </w:t>
      </w:r>
      <w:r>
        <w:rPr>
          <w:sz w:val="21"/>
          <w:szCs w:val="21"/>
        </w:rPr>
        <w:t xml:space="preserve">os 4 modelos de previsão comparados no projeto.</w:t>
      </w:r>
      <w:r>
        <w:rPr>
          <w:rStyle w:val="FootnoteReference"/>
        </w:rPr>
        <w:footnoteReference w:id="19"/>
      </w:r>
    </w:p>
    <w:p>
      <w:pPr>
        <w:spacing w:after="80" w:before="240"/>
      </w:pPr>
      <w:r>
        <w:rPr>
          <w:b/>
          <w:bCs/>
          <w:color w:val="E8720C"/>
          <w:spacing w:val="10"/>
          <w:sz w:val="21"/>
          <w:szCs w:val="21"/>
        </w:rPr>
        <w:t xml:space="preserve">EXEMPLO PRÁTICO</w:t>
      </w:r>
    </w:p>
    <w:p>
      <w:pPr>
        <w:spacing w:after="160" w:line="300"/>
      </w:pPr>
      <w:r>
        <w:rPr>
          <w:i w:val="false"/>
          <w:iCs w:val="false"/>
          <w:color w:val="222222"/>
          <w:sz w:val="22"/>
          <w:szCs w:val="22"/>
        </w:rPr>
        <w:t xml:space="preserve">Para o produto “Filtro de Linha Industrial”, o XGBoost venceu com folga (MAPE de 18,5%, contra 28,1% do Holt-Winters), justamente por ser o produto de maior variabilidade do grupo (CV de 0,40). Isso ilustra bem por que a escolha do modelo foi automatizada por produto, em vez de fixar um único modelo para todos: cada série tem uma personalidade estatística diferente.</w:t>
      </w:r>
    </w:p>
    <w:p>
      <w:pPr>
        <w:spacing w:after="80" w:before="240"/>
      </w:pPr>
      <w:r>
        <w:rPr>
          <w:b/>
          <w:bCs/>
          <w:color w:val="E8720C"/>
          <w:spacing w:val="10"/>
          <w:sz w:val="21"/>
          <w:szCs w:val="21"/>
        </w:rPr>
        <w:t xml:space="preserve">SE PERGUNTAREM...</w:t>
      </w:r>
    </w:p>
    <w:p>
      <w:pPr>
        <w:pStyle w:val="ListParagraph"/>
        <w:numPr>
          <w:ilvl w:val="0"/>
          <w:numId w:val="2"/>
        </w:numPr>
        <w:spacing w:after="90" w:line="290"/>
      </w:pPr>
      <w:r>
        <w:rPr>
          <w:b/>
          <w:bCs/>
          <w:i/>
          <w:iCs/>
          <w:color w:val="1B2A4A"/>
          <w:sz w:val="21"/>
          <w:szCs w:val="21"/>
        </w:rPr>
        <w:t xml:space="preserve">“Por que não simplesmente usar sempre o modelo com melhor desempenho médio geral?” </w:t>
      </w:r>
      <w:r>
        <w:rPr>
          <w:sz w:val="21"/>
          <w:szCs w:val="21"/>
        </w:rPr>
        <w:t xml:space="preserve">Porque a diferença de performance entre modelos varia produto a produto, o Holt-Winters é ótimo para séries mais estáveis e o XGBoost se destaca em séries mais erráticas. Escolher automaticamente por menor MAPE via walk-forward garante o melhor resultado possível por item, sem viés de preferência por um modelo só.</w:t>
      </w:r>
    </w:p>
    <w:p>
      <w:pPr>
        <w:pStyle w:val="Heading2"/>
        <w:pageBreakBefore/>
        <w:pBdr>
          <w:bottom w:val="single" w:color="D9DFE7" w:sz="6" w:space="6"/>
        </w:pBdr>
        <w:spacing w:after="160" w:before="420"/>
      </w:pPr>
      <w:r>
        <w:rPr>
          <w:b/>
          <w:bCs/>
          <w:color w:val="E8720C"/>
        </w:rPr>
        <w:t xml:space="preserve">SLIDE 14  ·  </w:t>
      </w:r>
      <w:r>
        <w:rPr>
          <w:b/>
          <w:bCs/>
          <w:color w:val="1B2A4A"/>
        </w:rPr>
        <w:t xml:space="preserve">Previsão 3 Meses, Alta de demanda esperada para março/2025</w:t>
      </w:r>
    </w:p>
    <w:p>
      <w:pPr>
        <w:spacing w:after="80" w:before="240"/>
      </w:pPr>
      <w:r>
        <w:rPr>
          <w:b/>
          <w:bCs/>
          <w:color w:val="E8720C"/>
          <w:spacing w:val="10"/>
          <w:sz w:val="21"/>
          <w:szCs w:val="21"/>
        </w:rPr>
        <w:t xml:space="preserve">O QUE DIZER</w:t>
      </w:r>
    </w:p>
    <w:p>
      <w:pPr>
        <w:spacing w:after="160" w:line="300"/>
      </w:pPr>
      <w:r>
        <w:rPr>
          <w:i w:val="false"/>
          <w:iCs w:val="false"/>
          <w:color w:val="222222"/>
          <w:sz w:val="22"/>
          <w:szCs w:val="22"/>
        </w:rPr>
        <w:t xml:space="preserve">Apresente a tabela da esquerda produto a produto, lendo o total previsto para os 3 meses e o modelo usado em cada caso (já definido no slide anterior).</w:t>
      </w:r>
    </w:p>
    <w:p>
      <w:pPr>
        <w:spacing w:after="160" w:line="300"/>
      </w:pPr>
      <w:r>
        <w:rPr>
          <w:i w:val="false"/>
          <w:iCs w:val="false"/>
          <w:color w:val="222222"/>
          <w:sz w:val="22"/>
          <w:szCs w:val="22"/>
        </w:rPr>
        <w:t xml:space="preserve">Use os gráficos da direita para mostrar visualmente o formato da previsão: histórico em cor sólida, previsão em linha tracejada com losangos, e a banda sombreada representando a margem de erro esperada (± 1 MAE, erro médio absoluto do melhor modelo).</w:t>
      </w:r>
    </w:p>
    <w:p>
      <w:pPr>
        <w:spacing w:after="160" w:line="300"/>
      </w:pPr>
      <w:r>
        <w:rPr>
          <w:i w:val="false"/>
          <w:iCs w:val="false"/>
          <w:color w:val="222222"/>
          <w:sz w:val="22"/>
          <w:szCs w:val="22"/>
        </w:rPr>
        <w:t xml:space="preserve">Destaque que a estratégia de previsão foi recursiva: a previsão do mês 1 (janeiro) alimenta a previsão do mês 2 (fevereiro), que por sua vez alimenta a do mês 3 (março), por isso o erro tende a crescer um pouco a cada mês à frente.</w:t>
      </w:r>
    </w:p>
    <w:p>
      <w:pPr>
        <w:spacing w:after="80" w:before="240"/>
      </w:pPr>
      <w:r>
        <w:rPr>
          <w:b/>
          <w:bCs/>
          <w:color w:val="E8720C"/>
          <w:spacing w:val="10"/>
          <w:sz w:val="21"/>
          <w:szCs w:val="21"/>
        </w:rPr>
        <w:t xml:space="preserve">CONCEITOS-CHAVE (COLA TÉCNICA)</w:t>
      </w:r>
    </w:p>
    <w:p>
      <w:pPr>
        <w:pStyle w:val="ListParagraph"/>
        <w:numPr>
          <w:ilvl w:val="0"/>
          <w:numId w:val="2"/>
        </w:numPr>
        <w:spacing w:after="90" w:line="290"/>
      </w:pPr>
      <w:r>
        <w:rPr>
          <w:b/>
          <w:bCs/>
          <w:color w:val="1B2A4A"/>
          <w:sz w:val="21"/>
          <w:szCs w:val="21"/>
        </w:rPr>
        <w:t xml:space="preserve">Previsão recursiva (recursive forecasting): </w:t>
      </w:r>
      <w:r>
        <w:rPr>
          <w:sz w:val="21"/>
          <w:szCs w:val="21"/>
        </w:rPr>
        <w:t xml:space="preserve">estratégia em que a previsão de um passo à frente é usada como se fosse um dado real para calcular o passo seguinte.</w:t>
      </w:r>
      <w:r>
        <w:rPr>
          <w:rStyle w:val="FootnoteReference"/>
        </w:rPr>
        <w:footnoteReference w:id="20"/>
      </w:r>
    </w:p>
    <w:p>
      <w:pPr>
        <w:pStyle w:val="ListParagraph"/>
        <w:numPr>
          <w:ilvl w:val="0"/>
          <w:numId w:val="2"/>
        </w:numPr>
        <w:spacing w:after="90" w:line="290"/>
      </w:pPr>
      <w:r>
        <w:rPr>
          <w:b/>
          <w:bCs/>
          <w:color w:val="1B2A4A"/>
          <w:sz w:val="21"/>
          <w:szCs w:val="21"/>
        </w:rPr>
        <w:t xml:space="preserve">Horizonte de previsão: </w:t>
      </w:r>
      <w:r>
        <w:rPr>
          <w:sz w:val="21"/>
          <w:szCs w:val="21"/>
        </w:rPr>
        <w:t xml:space="preserve">quantos períodos à frente o modelo está projetando.</w:t>
      </w:r>
      <w:r>
        <w:rPr>
          <w:rStyle w:val="FootnoteReference"/>
        </w:rPr>
        <w:footnoteReference w:id="21"/>
      </w:r>
    </w:p>
    <w:p>
      <w:pPr>
        <w:spacing w:after="80" w:before="240"/>
      </w:pPr>
      <w:r>
        <w:rPr>
          <w:b/>
          <w:bCs/>
          <w:color w:val="E8720C"/>
          <w:spacing w:val="10"/>
          <w:sz w:val="21"/>
          <w:szCs w:val="21"/>
        </w:rPr>
        <w:t xml:space="preserve">EXEMPLO PRÁTICO</w:t>
      </w:r>
    </w:p>
    <w:p>
      <w:pPr>
        <w:spacing w:after="160" w:line="300"/>
      </w:pPr>
      <w:r>
        <w:rPr>
          <w:i w:val="false"/>
          <w:iCs w:val="false"/>
          <w:color w:val="222222"/>
          <w:sz w:val="22"/>
          <w:szCs w:val="22"/>
        </w:rPr>
        <w:t xml:space="preserve">A “Luva de Proteção CA” tem previsão de 117.404 unidades para o trimestre (Jan–Mar/2025), usando Holt-Winters (o modelo com menor MAPE para este produto, 10,3%, do slide anterior). Note que os valores previstos crescem mês a mês (31.837 → 34.549 → 51.018), refletindo a sazonalidade de início de ano capturada pelo modelo.</w:t>
      </w:r>
    </w:p>
    <w:p>
      <w:pPr>
        <w:spacing w:after="80" w:before="240"/>
      </w:pPr>
      <w:r>
        <w:rPr>
          <w:b/>
          <w:bCs/>
          <w:color w:val="E8720C"/>
          <w:spacing w:val="10"/>
          <w:sz w:val="21"/>
          <w:szCs w:val="21"/>
        </w:rPr>
        <w:t xml:space="preserve">SE PERGUNTAREM...</w:t>
      </w:r>
    </w:p>
    <w:p>
      <w:pPr>
        <w:pStyle w:val="ListParagraph"/>
        <w:numPr>
          <w:ilvl w:val="0"/>
          <w:numId w:val="2"/>
        </w:numPr>
        <w:spacing w:after="90" w:line="290"/>
      </w:pPr>
      <w:r>
        <w:rPr>
          <w:b/>
          <w:bCs/>
          <w:i/>
          <w:iCs/>
          <w:color w:val="1B2A4A"/>
          <w:sz w:val="21"/>
          <w:szCs w:val="21"/>
        </w:rPr>
        <w:t xml:space="preserve">“Por que só 3 meses de previsão, e não 6 ou 12?” </w:t>
      </w:r>
      <w:r>
        <w:rPr>
          <w:sz w:val="21"/>
          <w:szCs w:val="21"/>
        </w:rPr>
        <w:t xml:space="preserve">Citando o próprio racional do projeto: produtos de alta variabilidade perdem confiabilidade de previsão rapidamente em horizontes longos. Como o objetivo é operacional (alimentar o cálculo de Estoque de Segurança e Ponto de Pedido), 3 meses equilibra acurácia estatística com utilidade prática para o time de compras.</w:t>
      </w:r>
    </w:p>
    <w:p>
      <w:pPr>
        <w:pStyle w:val="Heading2"/>
        <w:pageBreakBefore/>
        <w:pBdr>
          <w:bottom w:val="single" w:color="D9DFE7" w:sz="6" w:space="6"/>
        </w:pBdr>
        <w:spacing w:after="160" w:before="420"/>
      </w:pPr>
      <w:r>
        <w:rPr>
          <w:b/>
          <w:bCs/>
          <w:color w:val="E8720C"/>
        </w:rPr>
        <w:t xml:space="preserve">SLIDE 15  ·  </w:t>
      </w:r>
      <w:r>
        <w:rPr>
          <w:b/>
          <w:bCs/>
          <w:color w:val="1B2A4A"/>
        </w:rPr>
        <w:t xml:space="preserve">Ponto de Pedido, Subdimensionado em 100% dos itens críticos</w:t>
      </w:r>
    </w:p>
    <w:p>
      <w:pPr>
        <w:spacing w:after="80" w:before="240"/>
      </w:pPr>
      <w:r>
        <w:rPr>
          <w:b/>
          <w:bCs/>
          <w:color w:val="E8720C"/>
          <w:spacing w:val="10"/>
          <w:sz w:val="21"/>
          <w:szCs w:val="21"/>
        </w:rPr>
        <w:t xml:space="preserve">O QUE DIZER</w:t>
      </w:r>
    </w:p>
    <w:p>
      <w:pPr>
        <w:spacing w:after="160" w:line="300"/>
      </w:pPr>
      <w:r>
        <w:rPr>
          <w:i w:val="false"/>
          <w:iCs w:val="false"/>
          <w:color w:val="222222"/>
          <w:sz w:val="22"/>
          <w:szCs w:val="22"/>
        </w:rPr>
        <w:t xml:space="preserve">Explique o conceito de Ponto de Pedido antes de mostrar o gráfico: é o nível de estoque que, ao ser atingido, deveria disparar automaticamente um novo pedido de compra.</w:t>
      </w:r>
    </w:p>
    <w:p>
      <w:pPr>
        <w:spacing w:after="160" w:line="300"/>
      </w:pPr>
      <w:r>
        <w:rPr>
          <w:i w:val="false"/>
          <w:iCs w:val="false"/>
          <w:color w:val="222222"/>
          <w:sz w:val="22"/>
          <w:szCs w:val="22"/>
        </w:rPr>
        <w:t xml:space="preserve">Mostre o gráfico de barras sobrepostas: em cinza, o PP que deveria estar configurado (otimizado); em vermelho, o que está configurado hoje no sistema (atual). A diferença visual é dramática em todos os 5 produtos.</w:t>
      </w:r>
    </w:p>
    <w:p>
      <w:pPr>
        <w:spacing w:after="160" w:line="300"/>
      </w:pPr>
      <w:r>
        <w:rPr>
          <w:i w:val="false"/>
          <w:iCs w:val="false"/>
          <w:color w:val="222222"/>
          <w:sz w:val="22"/>
          <w:szCs w:val="22"/>
        </w:rPr>
        <w:t xml:space="preserve">Explique a causa raiz: o PP atual é, na prática, o campo estoque_minimo do sistema, um valor fixado manualmente há algum tempo e nunca recalculado com base em dados reais de demanda, lead time e variabilidade.</w:t>
      </w:r>
    </w:p>
    <w:p>
      <w:pPr>
        <w:spacing w:after="80" w:before="240"/>
      </w:pPr>
      <w:r>
        <w:rPr>
          <w:b/>
          <w:bCs/>
          <w:color w:val="E8720C"/>
          <w:spacing w:val="10"/>
          <w:sz w:val="21"/>
          <w:szCs w:val="21"/>
        </w:rPr>
        <w:t xml:space="preserve">CONCEITOS-CHAVE (COLA TÉCNICA)</w:t>
      </w:r>
    </w:p>
    <w:p>
      <w:pPr>
        <w:pStyle w:val="ListParagraph"/>
        <w:numPr>
          <w:ilvl w:val="0"/>
          <w:numId w:val="2"/>
        </w:numPr>
        <w:spacing w:after="90" w:line="290"/>
      </w:pPr>
      <w:r>
        <w:rPr>
          <w:b/>
          <w:bCs/>
          <w:color w:val="1B2A4A"/>
          <w:sz w:val="21"/>
          <w:szCs w:val="21"/>
        </w:rPr>
        <w:t xml:space="preserve">Ponto de Pedido (PP): </w:t>
      </w:r>
      <w:r>
        <w:rPr>
          <w:sz w:val="21"/>
          <w:szCs w:val="21"/>
        </w:rPr>
        <w:t xml:space="preserve">nível de estoque que deveria disparar um novo pedido de reposição, calculado para garantir que o estoque não chegue a zero durante o tempo de espera pela entrega.</w:t>
      </w:r>
      <w:r>
        <w:rPr>
          <w:rStyle w:val="FootnoteReference"/>
        </w:rPr>
        <w:footnoteReference w:id="22"/>
      </w:r>
    </w:p>
    <w:p>
      <w:pPr>
        <w:spacing w:after="80" w:before="240"/>
      </w:pPr>
      <w:r>
        <w:rPr>
          <w:b/>
          <w:bCs/>
          <w:color w:val="E8720C"/>
          <w:spacing w:val="10"/>
          <w:sz w:val="21"/>
          <w:szCs w:val="21"/>
        </w:rPr>
        <w:t xml:space="preserve">EXEMPLO PRÁTICO</w:t>
      </w:r>
    </w:p>
    <w:p>
      <w:pPr>
        <w:spacing w:after="160" w:line="300"/>
      </w:pPr>
      <w:r>
        <w:rPr>
          <w:i w:val="false"/>
          <w:iCs w:val="false"/>
          <w:color w:val="222222"/>
          <w:sz w:val="22"/>
          <w:szCs w:val="22"/>
        </w:rPr>
        <w:t xml:space="preserve">O Protetor Auricular tem PP atual de apenas 500 unidades no sistema, mas o cálculo otimizado, usando a demanda prevista de 1.350 unidades/dia e lead time de 15 dias, mais o estoque de segurança, aponta que o PP deveria ser 50.125 unidades. Isso significa que o sistema hoje dispara reposição 100 vezes mais tarde do que deveria para este item específico.</w:t>
      </w:r>
    </w:p>
    <w:p>
      <w:pPr>
        <w:spacing w:after="80" w:before="240"/>
      </w:pPr>
      <w:r>
        <w:rPr>
          <w:b/>
          <w:bCs/>
          <w:color w:val="E8720C"/>
          <w:spacing w:val="10"/>
          <w:sz w:val="21"/>
          <w:szCs w:val="21"/>
        </w:rPr>
        <w:t xml:space="preserve">SE PERGUNTAREM...</w:t>
      </w:r>
    </w:p>
    <w:p>
      <w:pPr>
        <w:pStyle w:val="ListParagraph"/>
        <w:numPr>
          <w:ilvl w:val="0"/>
          <w:numId w:val="2"/>
        </w:numPr>
        <w:spacing w:after="90" w:line="290"/>
      </w:pPr>
      <w:r>
        <w:rPr>
          <w:b/>
          <w:bCs/>
          <w:i/>
          <w:iCs/>
          <w:color w:val="1B2A4A"/>
          <w:sz w:val="21"/>
          <w:szCs w:val="21"/>
        </w:rPr>
        <w:t xml:space="preserve">“Como o PP ficou tão distante da realidade?” </w:t>
      </w:r>
      <w:r>
        <w:rPr>
          <w:sz w:val="21"/>
          <w:szCs w:val="21"/>
        </w:rPr>
        <w:t xml:space="preserve">Porque estoque_minimo é um parâmetro estático, definido uma vez (provavelmente no início da operação ou de forma genérica) e nunca atualizado conforme a demanda cresceu e a variabilidade real foi observada. É um problema comum em sistemas ERP que não têm rotina de recalibração baseada em dados.</w:t>
      </w:r>
    </w:p>
    <w:p>
      <w:pPr>
        <w:pStyle w:val="Heading2"/>
        <w:pageBreakBefore/>
        <w:pBdr>
          <w:bottom w:val="single" w:color="D9DFE7" w:sz="6" w:space="6"/>
        </w:pBdr>
        <w:spacing w:after="160" w:before="420"/>
      </w:pPr>
      <w:r>
        <w:rPr>
          <w:b/>
          <w:bCs/>
          <w:color w:val="E8720C"/>
        </w:rPr>
        <w:t xml:space="preserve">SLIDE 16  ·  </w:t>
      </w:r>
      <w:r>
        <w:rPr>
          <w:b/>
          <w:bCs/>
          <w:color w:val="1B2A4A"/>
        </w:rPr>
        <w:t xml:space="preserve">Cobertura de Estoque, Muito abaixo do necessário</w:t>
      </w:r>
    </w:p>
    <w:p>
      <w:pPr>
        <w:spacing w:after="80" w:before="240"/>
      </w:pPr>
      <w:r>
        <w:rPr>
          <w:b/>
          <w:bCs/>
          <w:color w:val="E8720C"/>
          <w:spacing w:val="10"/>
          <w:sz w:val="21"/>
          <w:szCs w:val="21"/>
        </w:rPr>
        <w:t xml:space="preserve">O QUE DIZER</w:t>
      </w:r>
    </w:p>
    <w:p>
      <w:pPr>
        <w:spacing w:after="160" w:line="300"/>
      </w:pPr>
      <w:r>
        <w:rPr>
          <w:i w:val="false"/>
          <w:iCs w:val="false"/>
          <w:color w:val="222222"/>
          <w:sz w:val="22"/>
          <w:szCs w:val="22"/>
        </w:rPr>
        <w:t xml:space="preserve">Explique cobertura de estoque como “quantos dias o estoque atual aguenta, no ritmo de consumo previsto, sem receber nada novo”.</w:t>
      </w:r>
    </w:p>
    <w:p>
      <w:pPr>
        <w:spacing w:after="160" w:line="300"/>
      </w:pPr>
      <w:r>
        <w:rPr>
          <w:i w:val="false"/>
          <w:iCs w:val="false"/>
          <w:color w:val="222222"/>
          <w:sz w:val="22"/>
          <w:szCs w:val="22"/>
        </w:rPr>
        <w:t xml:space="preserve">Mostre o gráfico comparando cobertura atual (vermelho) contra cobertura recomendada (azul) para sustentar o nível de serviço de 98%, a diferença é enorme em quase todos os produtos.</w:t>
      </w:r>
    </w:p>
    <w:p>
      <w:pPr>
        <w:spacing w:after="160" w:line="300"/>
      </w:pPr>
      <w:r>
        <w:rPr>
          <w:i w:val="false"/>
          <w:iCs w:val="false"/>
          <w:color w:val="222222"/>
          <w:sz w:val="22"/>
          <w:szCs w:val="22"/>
        </w:rPr>
        <w:t xml:space="preserve">Use o caso mais extremo (Luva de Proteção CA) como exemplo central: 0,2 dia de cobertura atual, menos de 5 horas, contra 30,2 dias recomendados. Isso significa que, na prática, esse item está operando no limite da ruptura constantemente.</w:t>
      </w:r>
    </w:p>
    <w:p>
      <w:pPr>
        <w:spacing w:after="80" w:before="240"/>
      </w:pPr>
      <w:r>
        <w:rPr>
          <w:b/>
          <w:bCs/>
          <w:color w:val="E8720C"/>
          <w:spacing w:val="10"/>
          <w:sz w:val="21"/>
          <w:szCs w:val="21"/>
        </w:rPr>
        <w:t xml:space="preserve">CONCEITOS-CHAVE (COLA TÉCNICA)</w:t>
      </w:r>
    </w:p>
    <w:p>
      <w:pPr>
        <w:pStyle w:val="ListParagraph"/>
        <w:numPr>
          <w:ilvl w:val="0"/>
          <w:numId w:val="2"/>
        </w:numPr>
        <w:spacing w:after="90" w:line="290"/>
      </w:pPr>
      <w:r>
        <w:rPr>
          <w:b/>
          <w:bCs/>
          <w:color w:val="1B2A4A"/>
          <w:sz w:val="21"/>
          <w:szCs w:val="21"/>
        </w:rPr>
        <w:t xml:space="preserve">Cobertura de estoque: </w:t>
      </w:r>
      <w:r>
        <w:rPr>
          <w:sz w:val="21"/>
          <w:szCs w:val="21"/>
        </w:rPr>
        <w:t xml:space="preserve">quantidade de dias que o estoque disponível atual sustenta a demanda prevista, sem nenhuma reposição.</w:t>
      </w:r>
      <w:r>
        <w:rPr>
          <w:rStyle w:val="FootnoteReference"/>
        </w:rPr>
        <w:footnoteReference w:id="23"/>
      </w:r>
    </w:p>
    <w:p>
      <w:pPr>
        <w:pStyle w:val="ListParagraph"/>
        <w:numPr>
          <w:ilvl w:val="0"/>
          <w:numId w:val="2"/>
        </w:numPr>
        <w:spacing w:after="90" w:line="290"/>
      </w:pPr>
      <w:r>
        <w:rPr>
          <w:b/>
          <w:bCs/>
          <w:color w:val="1B2A4A"/>
          <w:sz w:val="21"/>
          <w:szCs w:val="21"/>
        </w:rPr>
        <w:t xml:space="preserve">Nível de Serviço e Z-score: </w:t>
      </w:r>
      <w:r>
        <w:rPr>
          <w:sz w:val="21"/>
          <w:szCs w:val="21"/>
        </w:rPr>
        <w:t xml:space="preserve">o nível de serviço é a probabilidade de não haver ruptura durante o ciclo de reposição; o Z-score é o fator estatístico da distribuição normal correspondente a essa probabilidade.</w:t>
      </w:r>
      <w:r>
        <w:rPr>
          <w:rStyle w:val="FootnoteReference"/>
        </w:rPr>
        <w:footnoteReference w:id="24"/>
      </w:r>
    </w:p>
    <w:p>
      <w:pPr>
        <w:spacing w:after="80" w:before="240"/>
      </w:pPr>
      <w:r>
        <w:rPr>
          <w:b/>
          <w:bCs/>
          <w:color w:val="E8720C"/>
          <w:spacing w:val="10"/>
          <w:sz w:val="21"/>
          <w:szCs w:val="21"/>
        </w:rPr>
        <w:t xml:space="preserve">EXEMPLO PRÁTICO</w:t>
      </w:r>
    </w:p>
    <w:p>
      <w:pPr>
        <w:spacing w:after="160" w:line="300"/>
      </w:pPr>
      <w:r>
        <w:rPr>
          <w:i w:val="false"/>
          <w:iCs w:val="false"/>
          <w:color w:val="222222"/>
          <w:sz w:val="22"/>
          <w:szCs w:val="22"/>
        </w:rPr>
        <w:t xml:space="preserve">Um nível de serviço de 98% significa aceitar uma probabilidade de ruptura de apenas 2% em cada ciclo de reposição, um padrão rigoroso, justificado pelo fato de esses 5 produtos concentrarem cerca de 60% de todo o valor financeiro do portfólio (Slide 12). Para um produto de Classe C, de baixo valor, um nível de serviço de 90% (Z ≈ 1,28) já seria adequado e mais barato de manter.</w:t>
      </w:r>
    </w:p>
    <w:p>
      <w:pPr>
        <w:spacing w:after="80" w:before="240"/>
      </w:pPr>
      <w:r>
        <w:rPr>
          <w:b/>
          <w:bCs/>
          <w:color w:val="E8720C"/>
          <w:spacing w:val="10"/>
          <w:sz w:val="21"/>
          <w:szCs w:val="21"/>
        </w:rPr>
        <w:t xml:space="preserve">SE PERGUNTAREM...</w:t>
      </w:r>
    </w:p>
    <w:p>
      <w:pPr>
        <w:pStyle w:val="ListParagraph"/>
        <w:numPr>
          <w:ilvl w:val="0"/>
          <w:numId w:val="2"/>
        </w:numPr>
        <w:spacing w:after="90" w:line="290"/>
      </w:pPr>
      <w:r>
        <w:rPr>
          <w:b/>
          <w:bCs/>
          <w:i/>
          <w:iCs/>
          <w:color w:val="1B2A4A"/>
          <w:sz w:val="21"/>
          <w:szCs w:val="21"/>
        </w:rPr>
        <w:t xml:space="preserve">“De onde exatamente vem o número 2,054?” </w:t>
      </w:r>
      <w:r>
        <w:rPr>
          <w:sz w:val="21"/>
          <w:szCs w:val="21"/>
        </w:rPr>
        <w:t xml:space="preserve">É o valor da distribuição normal padrão (a mesma curva em formato de sino usada em estatística) no percentil 98%. Em Python, isso é calculado com scipy.stats.norm.ppf(0.98). Não é um número arbitrário, é diretamente derivado da probabilidade de serviço desejada.</w:t>
      </w:r>
    </w:p>
    <w:p>
      <w:pPr>
        <w:pStyle w:val="Heading2"/>
        <w:pageBreakBefore/>
        <w:pBdr>
          <w:bottom w:val="single" w:color="D9DFE7" w:sz="6" w:space="6"/>
        </w:pBdr>
        <w:spacing w:after="160" w:before="420"/>
      </w:pPr>
      <w:r>
        <w:rPr>
          <w:b/>
          <w:bCs/>
          <w:color w:val="E8720C"/>
        </w:rPr>
        <w:t xml:space="preserve">SLIDE 17  ·  </w:t>
      </w:r>
      <w:r>
        <w:rPr>
          <w:b/>
          <w:bCs/>
          <w:color w:val="1B2A4A"/>
        </w:rPr>
        <w:t xml:space="preserve">Retorno da Estratégia, 22x o investimento em estoque de segurança</w:t>
      </w:r>
    </w:p>
    <w:p>
      <w:pPr>
        <w:spacing w:after="80" w:before="240"/>
      </w:pPr>
      <w:r>
        <w:rPr>
          <w:b/>
          <w:bCs/>
          <w:color w:val="E8720C"/>
          <w:spacing w:val="10"/>
          <w:sz w:val="21"/>
          <w:szCs w:val="21"/>
        </w:rPr>
        <w:t xml:space="preserve">O QUE DIZER</w:t>
      </w:r>
    </w:p>
    <w:p>
      <w:pPr>
        <w:spacing w:after="160" w:line="300"/>
      </w:pPr>
      <w:r>
        <w:rPr>
          <w:i w:val="false"/>
          <w:iCs w:val="false"/>
          <w:color w:val="222222"/>
          <w:sz w:val="22"/>
          <w:szCs w:val="22"/>
        </w:rPr>
        <w:t xml:space="preserve">Conecte este slide diretamente ao anterior: para fechar o gap de cobertura mostrado no Slide 16, é preciso investir em Estoque de Segurança, este slide mostra quanto custa esse investimento e quanto ele retorna.</w:t>
      </w:r>
    </w:p>
    <w:p>
      <w:pPr>
        <w:spacing w:after="160" w:line="300"/>
      </w:pPr>
      <w:r>
        <w:rPr>
          <w:i w:val="false"/>
          <w:iCs w:val="false"/>
          <w:color w:val="222222"/>
          <w:sz w:val="22"/>
          <w:szCs w:val="22"/>
        </w:rPr>
        <w:t xml:space="preserve">Mostre o gráfico da esquerda: taxa de ruptura atual de cada produto (com destaque para os 17,3% da Luva de Proteção CA) contra a meta de 2% (equivalente ao nível de serviço de 98%).</w:t>
      </w:r>
    </w:p>
    <w:p>
      <w:pPr>
        <w:spacing w:after="160" w:line="300"/>
      </w:pPr>
      <w:r>
        <w:rPr>
          <w:i w:val="false"/>
          <w:iCs w:val="false"/>
          <w:color w:val="222222"/>
          <w:sz w:val="22"/>
          <w:szCs w:val="22"/>
        </w:rPr>
        <w:t xml:space="preserve">Mostre o gráfico da direita, o mais importante do slide: R$ 365 mil de custo anual para manter o estoque de segurança recomendado, contra R$ 8,1 milhões em risco financeiro mitigado (rupturas evitadas × valor médio do pedido). A relação entre os dois é o ROI de 22x.</w:t>
      </w:r>
    </w:p>
    <w:p>
      <w:pPr>
        <w:spacing w:after="80" w:before="240"/>
      </w:pPr>
      <w:r>
        <w:rPr>
          <w:b/>
          <w:bCs/>
          <w:color w:val="E8720C"/>
          <w:spacing w:val="10"/>
          <w:sz w:val="21"/>
          <w:szCs w:val="21"/>
        </w:rPr>
        <w:t xml:space="preserve">CONCEITOS-CHAVE (COLA TÉCNICA)</w:t>
      </w:r>
    </w:p>
    <w:p>
      <w:pPr>
        <w:pStyle w:val="ListParagraph"/>
        <w:numPr>
          <w:ilvl w:val="0"/>
          <w:numId w:val="2"/>
        </w:numPr>
        <w:spacing w:after="90" w:line="290"/>
      </w:pPr>
      <w:r>
        <w:rPr>
          <w:b/>
          <w:bCs/>
          <w:color w:val="1B2A4A"/>
          <w:sz w:val="21"/>
          <w:szCs w:val="21"/>
        </w:rPr>
        <w:t xml:space="preserve">Estoque de Segurança (ES): </w:t>
      </w:r>
      <w:r>
        <w:rPr>
          <w:sz w:val="21"/>
          <w:szCs w:val="21"/>
        </w:rPr>
        <w:t xml:space="preserve">quantidade extra de estoque mantida além da demanda média esperada, para absorver variações inesperadas de demanda e de lead time.</w:t>
      </w:r>
      <w:r>
        <w:rPr>
          <w:rStyle w:val="FootnoteReference"/>
        </w:rPr>
        <w:footnoteReference w:id="25"/>
      </w:r>
    </w:p>
    <w:p>
      <w:pPr>
        <w:pStyle w:val="ListParagraph"/>
        <w:numPr>
          <w:ilvl w:val="0"/>
          <w:numId w:val="2"/>
        </w:numPr>
        <w:spacing w:after="90" w:line="290"/>
      </w:pPr>
      <w:r>
        <w:rPr>
          <w:b/>
          <w:bCs/>
          <w:color w:val="1B2A4A"/>
          <w:sz w:val="21"/>
          <w:szCs w:val="21"/>
        </w:rPr>
        <w:t xml:space="preserve">Taxa de posse (holding cost): </w:t>
      </w:r>
      <w:r>
        <w:rPr>
          <w:sz w:val="21"/>
          <w:szCs w:val="21"/>
        </w:rPr>
        <w:t xml:space="preserve">custo anual de manter uma unidade em estoque, normalmente expresso como percentual do valor do item, cobrindo capital imobilizado, armazenagem, seguro e obsolescência.</w:t>
      </w:r>
      <w:r>
        <w:rPr>
          <w:rStyle w:val="FootnoteReference"/>
        </w:rPr>
        <w:footnoteReference w:id="26"/>
      </w:r>
    </w:p>
    <w:p>
      <w:pPr>
        <w:pStyle w:val="ListParagraph"/>
        <w:numPr>
          <w:ilvl w:val="0"/>
          <w:numId w:val="2"/>
        </w:numPr>
        <w:spacing w:after="90" w:line="290"/>
      </w:pPr>
      <w:r>
        <w:rPr>
          <w:b/>
          <w:bCs/>
          <w:color w:val="1B2A4A"/>
          <w:sz w:val="21"/>
          <w:szCs w:val="21"/>
        </w:rPr>
        <w:t xml:space="preserve">ROI: </w:t>
      </w:r>
      <w:r>
        <w:rPr>
          <w:sz w:val="21"/>
          <w:szCs w:val="21"/>
        </w:rPr>
        <w:t xml:space="preserve">Return on Investment, retorno sobre investimento, aqui calculado como o valor de risco financeiro mitigado dividido pelo custo do investimento (manutenção do estoque de segurança).</w:t>
      </w:r>
    </w:p>
    <w:p>
      <w:pPr>
        <w:spacing w:after="80" w:before="240"/>
      </w:pPr>
      <w:r>
        <w:rPr>
          <w:b/>
          <w:bCs/>
          <w:color w:val="E8720C"/>
          <w:spacing w:val="10"/>
          <w:sz w:val="21"/>
          <w:szCs w:val="21"/>
        </w:rPr>
        <w:t xml:space="preserve">EXEMPLO PRÁTICO</w:t>
      </w:r>
    </w:p>
    <w:p>
      <w:pPr>
        <w:spacing w:after="160" w:line="300"/>
      </w:pPr>
      <w:r>
        <w:rPr>
          <w:i w:val="false"/>
          <w:iCs w:val="false"/>
          <w:color w:val="222222"/>
          <w:sz w:val="22"/>
          <w:szCs w:val="22"/>
        </w:rPr>
        <w:t xml:space="preserve">Custo anual de manter o estoque de segurança recomendado para os 5 itens AY: R$ 364.630. Valor de risco financeiro mitigado (rupturas evitadas × valor médio dos pedidos afetados): R$ 8.126.685. ROI = 8.126.685 / 364.630 ≈ 22,3 vezes. Em outras palavras: cada R$ 1 investido em manter esse estoque extra evita, em média, R$ 22 em risco de ruptura.</w:t>
      </w:r>
    </w:p>
    <w:p>
      <w:pPr>
        <w:spacing w:after="80" w:before="240"/>
      </w:pPr>
      <w:r>
        <w:rPr>
          <w:b/>
          <w:bCs/>
          <w:color w:val="E8720C"/>
          <w:spacing w:val="10"/>
          <w:sz w:val="21"/>
          <w:szCs w:val="21"/>
        </w:rPr>
        <w:t xml:space="preserve">SE PERGUNTAREM...</w:t>
      </w:r>
    </w:p>
    <w:p>
      <w:pPr>
        <w:pStyle w:val="ListParagraph"/>
        <w:numPr>
          <w:ilvl w:val="0"/>
          <w:numId w:val="2"/>
        </w:numPr>
        <w:spacing w:after="90" w:line="290"/>
      </w:pPr>
      <w:r>
        <w:rPr>
          <w:b/>
          <w:bCs/>
          <w:i/>
          <w:iCs/>
          <w:color w:val="1B2A4A"/>
          <w:sz w:val="21"/>
          <w:szCs w:val="21"/>
        </w:rPr>
        <w:t xml:space="preserve">“Por que não aumentar o nível de serviço para 99% ou 99,9%, se o retorno é tão bom?” </w:t>
      </w:r>
      <w:r>
        <w:rPr>
          <w:sz w:val="21"/>
          <w:szCs w:val="21"/>
        </w:rPr>
        <w:t xml:space="preserve">Porque a relação não é linear: aumentar o nível de serviço eleva o Z-score, que eleva o Estoque de Segurança, que eleva o custo de manutenção, enquanto o ganho marginal de reduzir ainda mais uma ruptura já rara diminui. É a lei clássica dos retornos decrescentes em gestão de estoque, existe um ponto ótimo, e 98% foi escolhido como equilíbrio razoável para itens de altíssimo valor.</w:t>
      </w:r>
    </w:p>
    <w:p>
      <w:pPr>
        <w:pStyle w:val="Heading2"/>
        <w:pageBreakBefore/>
        <w:pBdr>
          <w:bottom w:val="single" w:color="D9DFE7" w:sz="6" w:space="6"/>
        </w:pBdr>
        <w:spacing w:after="160" w:before="420"/>
      </w:pPr>
      <w:r>
        <w:rPr>
          <w:b/>
          <w:bCs/>
          <w:color w:val="E8720C"/>
        </w:rPr>
        <w:t xml:space="preserve">SLIDE 18  ·  </w:t>
      </w:r>
      <w:r>
        <w:rPr>
          <w:b/>
          <w:bCs/>
          <w:color w:val="1B2A4A"/>
        </w:rPr>
        <w:t xml:space="preserve">Plano de Ação, Cinco prioridades para transformar a cadeia</w:t>
      </w:r>
    </w:p>
    <w:p>
      <w:pPr>
        <w:spacing w:after="80" w:before="240"/>
      </w:pPr>
      <w:r>
        <w:rPr>
          <w:b/>
          <w:bCs/>
          <w:color w:val="E8720C"/>
          <w:spacing w:val="10"/>
          <w:sz w:val="21"/>
          <w:szCs w:val="21"/>
        </w:rPr>
        <w:t xml:space="preserve">O QUE DIZER</w:t>
      </w:r>
    </w:p>
    <w:p>
      <w:pPr>
        <w:spacing w:after="160" w:line="300"/>
      </w:pPr>
      <w:r>
        <w:rPr>
          <w:i w:val="false"/>
          <w:iCs w:val="false"/>
          <w:color w:val="222222"/>
          <w:sz w:val="22"/>
          <w:szCs w:val="22"/>
        </w:rPr>
        <w:t xml:space="preserve">Apresente as 5 ações em ordem de prioridade, conectando cada uma de volta ao slide que a fundamenta, isso mostra que o plano não é genérico, é derivado diretamente da análise.</w:t>
      </w:r>
    </w:p>
    <w:p>
      <w:pPr>
        <w:spacing w:after="160" w:line="300"/>
      </w:pPr>
      <w:r>
        <w:rPr>
          <w:i w:val="false"/>
          <w:iCs w:val="false"/>
          <w:color w:val="222222"/>
          <w:sz w:val="22"/>
          <w:szCs w:val="22"/>
        </w:rPr>
        <w:t xml:space="preserve">Ação 1 (ERP): conecta ao Slide 15, é a de maior impacto e menor custo de implementação, porque não depende de negociação externa, só de atualizar um parâmetro no sistema.</w:t>
      </w:r>
    </w:p>
    <w:p>
      <w:pPr>
        <w:spacing w:after="160" w:line="300"/>
      </w:pPr>
      <w:r>
        <w:rPr>
          <w:i w:val="false"/>
          <w:iCs w:val="false"/>
          <w:color w:val="222222"/>
          <w:sz w:val="22"/>
          <w:szCs w:val="22"/>
        </w:rPr>
        <w:t xml:space="preserve">Ação 2 (reposição emergencial): conecta ao Slide 16, é urgente porque a cobertura atual está criticamente baixa em 100% dos itens analisados.</w:t>
      </w:r>
    </w:p>
    <w:p>
      <w:pPr>
        <w:spacing w:after="160" w:line="300"/>
      </w:pPr>
      <w:r>
        <w:rPr>
          <w:i w:val="false"/>
          <w:iCs w:val="false"/>
          <w:color w:val="222222"/>
          <w:sz w:val="22"/>
          <w:szCs w:val="22"/>
        </w:rPr>
        <w:t xml:space="preserve">Ação 3 (substituir China Industrial Supplies): conecta aos Slides 6, 7 e 8, o fornecedor combina alto volume (9,9% dos pedidos) com baixa confiabilidade (OTIF de 77,5%).</w:t>
      </w:r>
    </w:p>
    <w:p>
      <w:pPr>
        <w:spacing w:after="160" w:line="300"/>
      </w:pPr>
      <w:r>
        <w:rPr>
          <w:i w:val="false"/>
          <w:iCs w:val="false"/>
          <w:color w:val="222222"/>
          <w:sz w:val="22"/>
          <w:szCs w:val="22"/>
        </w:rPr>
        <w:t xml:space="preserve">Ações 4 e 5 (EOQ e diversificação de fornecedores): conectam aos Slides 9 e 18 mesmo, são estratégicas, de mais longo prazo, focadas em eficiência de custo e redução de risco de concentração.</w:t>
      </w:r>
    </w:p>
    <w:p>
      <w:pPr>
        <w:spacing w:after="80" w:before="240"/>
      </w:pPr>
      <w:r>
        <w:rPr>
          <w:b/>
          <w:bCs/>
          <w:color w:val="E8720C"/>
          <w:spacing w:val="10"/>
          <w:sz w:val="21"/>
          <w:szCs w:val="21"/>
        </w:rPr>
        <w:t xml:space="preserve">CONCEITOS-CHAVE (COLA TÉCNICA)</w:t>
      </w:r>
    </w:p>
    <w:p>
      <w:pPr>
        <w:pStyle w:val="ListParagraph"/>
        <w:numPr>
          <w:ilvl w:val="0"/>
          <w:numId w:val="2"/>
        </w:numPr>
        <w:spacing w:after="90" w:line="290"/>
      </w:pPr>
      <w:r>
        <w:rPr>
          <w:b/>
          <w:bCs/>
          <w:color w:val="1B2A4A"/>
          <w:sz w:val="21"/>
          <w:szCs w:val="21"/>
        </w:rPr>
        <w:t xml:space="preserve">EOQ (Lote Econômico de Compra): </w:t>
      </w:r>
      <w:r>
        <w:rPr>
          <w:sz w:val="21"/>
          <w:szCs w:val="21"/>
        </w:rPr>
        <w:t xml:space="preserve">Economic Order Quantity, a quantidade de compra que minimiza o custo total de estoque, somando o custo de emitir pedidos com o custo de manter estoque.</w:t>
      </w:r>
      <w:r>
        <w:rPr>
          <w:rStyle w:val="FootnoteReference"/>
        </w:rPr>
        <w:footnoteReference w:id="27"/>
      </w:r>
    </w:p>
    <w:p>
      <w:pPr>
        <w:spacing w:after="80" w:before="240"/>
      </w:pPr>
      <w:r>
        <w:rPr>
          <w:b/>
          <w:bCs/>
          <w:color w:val="E8720C"/>
          <w:spacing w:val="10"/>
          <w:sz w:val="21"/>
          <w:szCs w:val="21"/>
        </w:rPr>
        <w:t xml:space="preserve">EXEMPLO PRÁTICO</w:t>
      </w:r>
    </w:p>
    <w:p>
      <w:pPr>
        <w:spacing w:after="160" w:line="300"/>
      </w:pPr>
      <w:r>
        <w:rPr>
          <w:i w:val="false"/>
          <w:iCs w:val="false"/>
          <w:color w:val="222222"/>
          <w:sz w:val="22"/>
          <w:szCs w:val="22"/>
        </w:rPr>
        <w:t xml:space="preserve">No cálculo do projeto, adotar o EOQ como política de compra reduz significativamente o número de pedidos emitidos por ano para os itens AY, menos pedidos, em lotes maiores e mais eficientes, o que também reduz o custo administrativo do time de compras, um ganho colateral que não aparece diretamente na taxa de ruptura, mas afeta a eficiência operacional.</w:t>
      </w:r>
    </w:p>
    <w:p>
      <w:pPr>
        <w:spacing w:after="80" w:before="240"/>
      </w:pPr>
      <w:r>
        <w:rPr>
          <w:b/>
          <w:bCs/>
          <w:color w:val="E8720C"/>
          <w:spacing w:val="10"/>
          <w:sz w:val="21"/>
          <w:szCs w:val="21"/>
        </w:rPr>
        <w:t xml:space="preserve">SE PERGUNTAREM...</w:t>
      </w:r>
    </w:p>
    <w:p>
      <w:pPr>
        <w:pStyle w:val="ListParagraph"/>
        <w:numPr>
          <w:ilvl w:val="0"/>
          <w:numId w:val="2"/>
        </w:numPr>
        <w:spacing w:after="90" w:line="290"/>
      </w:pPr>
      <w:r>
        <w:rPr>
          <w:b/>
          <w:bCs/>
          <w:i/>
          <w:iCs/>
          <w:color w:val="1B2A4A"/>
          <w:sz w:val="21"/>
          <w:szCs w:val="21"/>
        </w:rPr>
        <w:t xml:space="preserve">“Se vocês tivessem que escolher só uma ação para implementar primeiro, qual seria?” </w:t>
      </w:r>
      <w:r>
        <w:rPr>
          <w:sz w:val="21"/>
          <w:szCs w:val="21"/>
        </w:rPr>
        <w:t xml:space="preserve">A Ação 1, atualizar o Ponto de Pedido no ERP. É a única das cinco que não depende de negociação com terceiros, não exige investimento de capital significativo e elimina imediatamente o risco sistêmico mostrado no Slide 15, é o melhor custo-benefício de curto prazo do plano inteiro.</w:t>
      </w:r>
    </w:p>
    <w:p>
      <w:pPr>
        <w:pStyle w:val="Heading2"/>
        <w:pageBreakBefore/>
        <w:pBdr>
          <w:bottom w:val="single" w:color="D9DFE7" w:sz="6" w:space="6"/>
        </w:pBdr>
        <w:spacing w:after="160" w:before="420"/>
      </w:pPr>
      <w:r>
        <w:rPr>
          <w:b/>
          <w:bCs/>
          <w:color w:val="E8720C"/>
        </w:rPr>
        <w:t xml:space="preserve">SLIDE 19  ·  </w:t>
      </w:r>
      <w:r>
        <w:rPr>
          <w:b/>
          <w:bCs/>
          <w:color w:val="1B2A4A"/>
        </w:rPr>
        <w:t xml:space="preserve">Fechamento, Resumo Executivo</w:t>
      </w:r>
    </w:p>
    <w:p>
      <w:pPr>
        <w:spacing w:after="80" w:before="240"/>
      </w:pPr>
      <w:r>
        <w:rPr>
          <w:b/>
          <w:bCs/>
          <w:color w:val="E8720C"/>
          <w:spacing w:val="10"/>
          <w:sz w:val="21"/>
          <w:szCs w:val="21"/>
        </w:rPr>
        <w:t xml:space="preserve">O QUE DIZER</w:t>
      </w:r>
    </w:p>
    <w:p>
      <w:pPr>
        <w:spacing w:after="160" w:line="300"/>
      </w:pPr>
      <w:r>
        <w:rPr>
          <w:i w:val="false"/>
          <w:iCs w:val="false"/>
          <w:color w:val="222222"/>
          <w:sz w:val="22"/>
          <w:szCs w:val="22"/>
        </w:rPr>
        <w:t xml:space="preserve">Recapitule a jornada em uma frase de fechamento: “Começamos com quase 50 mil pedidos brutos, e terminamos com um plano de ação concreto, priorizado e com retorno financeiro estimado.”</w:t>
      </w:r>
    </w:p>
    <w:p>
      <w:pPr>
        <w:spacing w:after="160" w:line="300"/>
      </w:pPr>
      <w:r>
        <w:rPr>
          <w:i w:val="false"/>
          <w:iCs w:val="false"/>
          <w:color w:val="222222"/>
          <w:sz w:val="22"/>
          <w:szCs w:val="22"/>
        </w:rPr>
        <w:t xml:space="preserve">Releia os 4 números do slide, em ordem, como um resumo: taxa de ruptura geral (2,9%), taxa de atraso nas entregas (9,9%), valor em risco concentrado nos itens críticos (R$ 100 milhões) e o retorno da estratégia de estoque (22x).</w:t>
      </w:r>
    </w:p>
    <w:p>
      <w:pPr>
        <w:spacing w:after="160" w:line="300"/>
      </w:pPr>
      <w:r>
        <w:rPr>
          <w:i w:val="false"/>
          <w:iCs w:val="false"/>
          <w:color w:val="222222"/>
          <w:sz w:val="22"/>
          <w:szCs w:val="22"/>
        </w:rPr>
        <w:t xml:space="preserve">Encerre convidando perguntas, e tenha as fichas de “Se perguntarem…” deste roteiro à mão para as perguntas mais prováveis, elas já estão organizadas por slide ao longo deste documento.</w:t>
      </w:r>
    </w:p>
    <w:p>
      <w:pPr>
        <w:spacing w:after="80" w:before="240"/>
      </w:pPr>
      <w:r>
        <w:rPr>
          <w:b/>
          <w:bCs/>
          <w:color w:val="E8720C"/>
          <w:spacing w:val="10"/>
          <w:sz w:val="21"/>
          <w:szCs w:val="21"/>
        </w:rPr>
        <w:t xml:space="preserve">EXEMPLO PRÁTICO</w:t>
      </w:r>
    </w:p>
    <w:p>
      <w:pPr>
        <w:spacing w:after="160" w:line="300"/>
      </w:pPr>
      <w:r>
        <w:rPr>
          <w:i w:val="false"/>
          <w:iCs w:val="false"/>
          <w:color w:val="222222"/>
          <w:sz w:val="22"/>
          <w:szCs w:val="22"/>
        </w:rPr>
        <w:t xml:space="preserve">Se quiser encerrar com uma frase de efeito: “Os dados já mostravam o problema há três anos, na sazonalidade do T4, na concentração de fornecedores, no Ponto de Pedido desatualizado. O que este projeto fez foi transformar esses sinais dispersos em um plano de ação com número, prioridade e retorno.”</w:t>
      </w:r>
    </w:p>
    <w:p>
      <w:pPr>
        <w:spacing w:after="80" w:before="240"/>
      </w:pPr>
      <w:r>
        <w:rPr>
          <w:b/>
          <w:bCs/>
          <w:color w:val="E8720C"/>
          <w:spacing w:val="10"/>
          <w:sz w:val="21"/>
          <w:szCs w:val="21"/>
        </w:rPr>
        <w:t xml:space="preserve">SE PERGUNTAREM...</w:t>
      </w:r>
    </w:p>
    <w:p>
      <w:pPr>
        <w:pStyle w:val="ListParagraph"/>
        <w:numPr>
          <w:ilvl w:val="0"/>
          <w:numId w:val="2"/>
        </w:numPr>
        <w:spacing w:after="90" w:line="290"/>
      </w:pPr>
      <w:r>
        <w:rPr>
          <w:b/>
          <w:bCs/>
          <w:i/>
          <w:iCs/>
          <w:color w:val="1B2A4A"/>
          <w:sz w:val="21"/>
          <w:szCs w:val="21"/>
        </w:rPr>
        <w:t xml:space="preserve">“Quais são as limitações deste estudo?” </w:t>
      </w:r>
      <w:r>
        <w:rPr>
          <w:sz w:val="21"/>
          <w:szCs w:val="21"/>
        </w:rPr>
        <w:t xml:space="preserve">Vale ter essa resposta pronta: o recorte de 20 produtos e 10 fornecedores é controlado, o que é ótimo para robustez estatística, mas uma implementação em produção exigiria monitorar o modelo ao longo do tempo (model drift), validar a sazonalidade com mais anos de histórico à medida que ficarem disponíveis, e obter dados mais granulares de OTIF (quantidade entregue separada de prazo), como mencionado no Slide 7.</w:t>
      </w:r>
    </w:p>
    <w:p>
      <w:pPr>
        <w:pStyle w:val="Heading2"/>
        <w:pageBreakBefore/>
        <w:spacing w:after="200" w:before="300"/>
      </w:pPr>
      <w:r>
        <w:rPr>
          <w:b/>
          <w:bCs/>
          <w:color w:val="1B2A4A"/>
        </w:rPr>
        <w:t xml:space="preserve">Glossário Rápido, Cola Final Antes de Apresentar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shd w:fill="1B2A4A" w:val="clear"/>
          </w:tcPr>
          <w:p>
            <w:r>
              <w:rPr>
                <w:b/>
                <w:bCs/>
                <w:color w:val="FFFFFF"/>
                <w:sz w:val="21"/>
                <w:szCs w:val="21"/>
              </w:rPr>
              <w:t xml:space="preserve">Termo</w:t>
            </w:r>
          </w:p>
        </w:tc>
        <w:tc>
          <w:tcPr>
            <w:tcW w:type="dxa" w:w="6800"/>
            <w:shd w:fill="1B2A4A" w:val="clear"/>
          </w:tcPr>
          <w:p>
            <w:r>
              <w:rPr>
                <w:b/>
                <w:bCs/>
                <w:color w:val="FFFFFF"/>
                <w:sz w:val="21"/>
                <w:szCs w:val="21"/>
              </w:rPr>
              <w:t xml:space="preserve">Definição resumida</w:t>
            </w:r>
          </w:p>
        </w:tc>
      </w:tr>
      <w:tr>
        <w:tc>
          <w:tcPr>
            <w:tcW w:type="dxa" w:w="3200"/>
            <w:shd w:fill="F4F6F9" w:val="clear"/>
          </w:tcPr>
          <w:p>
            <w:r>
              <w:rPr>
                <w:b/>
                <w:bCs/>
                <w:color w:val="1B2A4A"/>
                <w:sz w:val="20"/>
                <w:szCs w:val="20"/>
              </w:rPr>
              <w:t xml:space="preserve">OTIF</w:t>
            </w:r>
          </w:p>
        </w:tc>
        <w:tc>
          <w:tcPr>
            <w:tcW w:type="dxa" w:w="6800"/>
            <w:shd w:fill="F4F6F9" w:val="clear"/>
          </w:tcPr>
          <w:p>
            <w:r>
              <w:rPr>
                <w:sz w:val="20"/>
                <w:szCs w:val="20"/>
              </w:rPr>
              <w:t xml:space="preserve">% de pedidos entregues no prazo E na quantidade completa (On Time In Full).</w:t>
            </w:r>
          </w:p>
        </w:tc>
      </w:tr>
      <w:tr>
        <w:tc>
          <w:tcPr>
            <w:tcW w:type="dxa" w:w="3200"/>
            <w:shd w:fill="FFFFFF" w:val="clear"/>
          </w:tcPr>
          <w:p>
            <w:r>
              <w:rPr>
                <w:b/>
                <w:bCs/>
                <w:color w:val="1B2A4A"/>
                <w:sz w:val="20"/>
                <w:szCs w:val="20"/>
              </w:rPr>
              <w:t xml:space="preserve">Lead time</w:t>
            </w:r>
          </w:p>
        </w:tc>
        <w:tc>
          <w:tcPr>
            <w:tcW w:type="dxa" w:w="6800"/>
            <w:shd w:fill="FFFFFF" w:val="clear"/>
          </w:tcPr>
          <w:p>
            <w:r>
              <w:rPr>
                <w:sz w:val="20"/>
                <w:szCs w:val="20"/>
              </w:rPr>
              <w:t xml:space="preserve">tempo entre o pedido ser feito e ser recebido.</w:t>
            </w:r>
          </w:p>
        </w:tc>
      </w:tr>
      <w:tr>
        <w:tc>
          <w:tcPr>
            <w:tcW w:type="dxa" w:w="3200"/>
            <w:shd w:fill="F4F6F9" w:val="clear"/>
          </w:tcPr>
          <w:p>
            <w:r>
              <w:rPr>
                <w:b/>
                <w:bCs/>
                <w:color w:val="1B2A4A"/>
                <w:sz w:val="20"/>
                <w:szCs w:val="20"/>
              </w:rPr>
              <w:t xml:space="preserve">MAPE</w:t>
            </w:r>
          </w:p>
        </w:tc>
        <w:tc>
          <w:tcPr>
            <w:tcW w:type="dxa" w:w="6800"/>
            <w:shd w:fill="F4F6F9" w:val="clear"/>
          </w:tcPr>
          <w:p>
            <w:r>
              <w:rPr>
                <w:sz w:val="20"/>
                <w:szCs w:val="20"/>
              </w:rPr>
              <w:t xml:space="preserve">erro percentual médio de um modelo de previsão (menor = melhor).</w:t>
            </w:r>
          </w:p>
        </w:tc>
      </w:tr>
      <w:tr>
        <w:tc>
          <w:tcPr>
            <w:tcW w:type="dxa" w:w="3200"/>
            <w:shd w:fill="FFFFFF" w:val="clear"/>
          </w:tcPr>
          <w:p>
            <w:r>
              <w:rPr>
                <w:b/>
                <w:bCs/>
                <w:color w:val="1B2A4A"/>
                <w:sz w:val="20"/>
                <w:szCs w:val="20"/>
              </w:rPr>
              <w:t xml:space="preserve">CV (Coeficiente de Variação)</w:t>
            </w:r>
          </w:p>
        </w:tc>
        <w:tc>
          <w:tcPr>
            <w:tcW w:type="dxa" w:w="6800"/>
            <w:shd w:fill="FFFFFF" w:val="clear"/>
          </w:tcPr>
          <w:p>
            <w:r>
              <w:rPr>
                <w:sz w:val="20"/>
                <w:szCs w:val="20"/>
              </w:rPr>
              <w:t xml:space="preserve">desvio padrão / média; mede o quão instável é a demanda.</w:t>
            </w:r>
          </w:p>
        </w:tc>
      </w:tr>
      <w:tr>
        <w:tc>
          <w:tcPr>
            <w:tcW w:type="dxa" w:w="3200"/>
            <w:shd w:fill="F4F6F9" w:val="clear"/>
          </w:tcPr>
          <w:p>
            <w:r>
              <w:rPr>
                <w:b/>
                <w:bCs/>
                <w:color w:val="1B2A4A"/>
                <w:sz w:val="20"/>
                <w:szCs w:val="20"/>
              </w:rPr>
              <w:t xml:space="preserve">Curva ABC</w:t>
            </w:r>
          </w:p>
        </w:tc>
        <w:tc>
          <w:tcPr>
            <w:tcW w:type="dxa" w:w="6800"/>
            <w:shd w:fill="F4F6F9" w:val="clear"/>
          </w:tcPr>
          <w:p>
            <w:r>
              <w:rPr>
                <w:sz w:val="20"/>
                <w:szCs w:val="20"/>
              </w:rPr>
              <w:t xml:space="preserve">classifica produtos pelo valor consumido (Pareto 80/20).</w:t>
            </w:r>
          </w:p>
        </w:tc>
      </w:tr>
      <w:tr>
        <w:tc>
          <w:tcPr>
            <w:tcW w:type="dxa" w:w="3200"/>
            <w:shd w:fill="FFFFFF" w:val="clear"/>
          </w:tcPr>
          <w:p>
            <w:r>
              <w:rPr>
                <w:b/>
                <w:bCs/>
                <w:color w:val="1B2A4A"/>
                <w:sz w:val="20"/>
                <w:szCs w:val="20"/>
              </w:rPr>
              <w:t xml:space="preserve">Classificação XYZ</w:t>
            </w:r>
          </w:p>
        </w:tc>
        <w:tc>
          <w:tcPr>
            <w:tcW w:type="dxa" w:w="6800"/>
            <w:shd w:fill="FFFFFF" w:val="clear"/>
          </w:tcPr>
          <w:p>
            <w:r>
              <w:rPr>
                <w:sz w:val="20"/>
                <w:szCs w:val="20"/>
              </w:rPr>
              <w:t xml:space="preserve">classifica produtos pela previsibilidade da demanda (X estável, Z caótica).</w:t>
            </w:r>
          </w:p>
        </w:tc>
      </w:tr>
      <w:tr>
        <w:tc>
          <w:tcPr>
            <w:tcW w:type="dxa" w:w="3200"/>
            <w:shd w:fill="F4F6F9" w:val="clear"/>
          </w:tcPr>
          <w:p>
            <w:r>
              <w:rPr>
                <w:b/>
                <w:bCs/>
                <w:color w:val="1B2A4A"/>
                <w:sz w:val="20"/>
                <w:szCs w:val="20"/>
              </w:rPr>
              <w:t xml:space="preserve">Matriz ABC-XYZ</w:t>
            </w:r>
          </w:p>
        </w:tc>
        <w:tc>
          <w:tcPr>
            <w:tcW w:type="dxa" w:w="6800"/>
            <w:shd w:fill="F4F6F9" w:val="clear"/>
          </w:tcPr>
          <w:p>
            <w:r>
              <w:rPr>
                <w:sz w:val="20"/>
                <w:szCs w:val="20"/>
              </w:rPr>
              <w:t xml:space="preserve">cruza valor × previsibilidade; quadrante AY = maior prioridade.</w:t>
            </w:r>
          </w:p>
        </w:tc>
      </w:tr>
      <w:tr>
        <w:tc>
          <w:tcPr>
            <w:tcW w:type="dxa" w:w="3200"/>
            <w:shd w:fill="FFFFFF" w:val="clear"/>
          </w:tcPr>
          <w:p>
            <w:r>
              <w:rPr>
                <w:b/>
                <w:bCs/>
                <w:color w:val="1B2A4A"/>
                <w:sz w:val="20"/>
                <w:szCs w:val="20"/>
              </w:rPr>
              <w:t xml:space="preserve">K-means</w:t>
            </w:r>
          </w:p>
        </w:tc>
        <w:tc>
          <w:tcPr>
            <w:tcW w:type="dxa" w:w="6800"/>
            <w:shd w:fill="FFFFFF" w:val="clear"/>
          </w:tcPr>
          <w:p>
            <w:r>
              <w:rPr>
                <w:sz w:val="20"/>
                <w:szCs w:val="20"/>
              </w:rPr>
              <w:t xml:space="preserve">algoritmo que agrupa fornecedores/produtos por similaridade estatística.</w:t>
            </w:r>
          </w:p>
        </w:tc>
      </w:tr>
      <w:tr>
        <w:tc>
          <w:tcPr>
            <w:tcW w:type="dxa" w:w="3200"/>
            <w:shd w:fill="F4F6F9" w:val="clear"/>
          </w:tcPr>
          <w:p>
            <w:r>
              <w:rPr>
                <w:b/>
                <w:bCs/>
                <w:color w:val="1B2A4A"/>
                <w:sz w:val="20"/>
                <w:szCs w:val="20"/>
              </w:rPr>
              <w:t xml:space="preserve">Walk-Forward Validation</w:t>
            </w:r>
          </w:p>
        </w:tc>
        <w:tc>
          <w:tcPr>
            <w:tcW w:type="dxa" w:w="6800"/>
            <w:shd w:fill="F4F6F9" w:val="clear"/>
          </w:tcPr>
          <w:p>
            <w:r>
              <w:rPr>
                <w:sz w:val="20"/>
                <w:szCs w:val="20"/>
              </w:rPr>
              <w:t xml:space="preserve">valida modelo de série temporal treinando sempre no passado, testando no futuro.</w:t>
            </w:r>
          </w:p>
        </w:tc>
      </w:tr>
      <w:tr>
        <w:tc>
          <w:tcPr>
            <w:tcW w:type="dxa" w:w="3200"/>
            <w:shd w:fill="FFFFFF" w:val="clear"/>
          </w:tcPr>
          <w:p>
            <w:r>
              <w:rPr>
                <w:b/>
                <w:bCs/>
                <w:color w:val="1B2A4A"/>
                <w:sz w:val="20"/>
                <w:szCs w:val="20"/>
              </w:rPr>
              <w:t xml:space="preserve">Ponto de Pedido (PP)</w:t>
            </w:r>
          </w:p>
        </w:tc>
        <w:tc>
          <w:tcPr>
            <w:tcW w:type="dxa" w:w="6800"/>
            <w:shd w:fill="FFFFFF" w:val="clear"/>
          </w:tcPr>
          <w:p>
            <w:r>
              <w:rPr>
                <w:sz w:val="20"/>
                <w:szCs w:val="20"/>
              </w:rPr>
              <w:t xml:space="preserve">nível de estoque que deveria disparar nova compra.</w:t>
            </w:r>
          </w:p>
        </w:tc>
      </w:tr>
      <w:tr>
        <w:tc>
          <w:tcPr>
            <w:tcW w:type="dxa" w:w="3200"/>
            <w:shd w:fill="F4F6F9" w:val="clear"/>
          </w:tcPr>
          <w:p>
            <w:r>
              <w:rPr>
                <w:b/>
                <w:bCs/>
                <w:color w:val="1B2A4A"/>
                <w:sz w:val="20"/>
                <w:szCs w:val="20"/>
              </w:rPr>
              <w:t xml:space="preserve">Estoque de Segurança (ES)</w:t>
            </w:r>
          </w:p>
        </w:tc>
        <w:tc>
          <w:tcPr>
            <w:tcW w:type="dxa" w:w="6800"/>
            <w:shd w:fill="F4F6F9" w:val="clear"/>
          </w:tcPr>
          <w:p>
            <w:r>
              <w:rPr>
                <w:sz w:val="20"/>
                <w:szCs w:val="20"/>
              </w:rPr>
              <w:t xml:space="preserve">estoque extra para absorver variações de demanda e de prazo de entrega.</w:t>
            </w:r>
          </w:p>
        </w:tc>
      </w:tr>
      <w:tr>
        <w:tc>
          <w:tcPr>
            <w:tcW w:type="dxa" w:w="3200"/>
            <w:shd w:fill="FFFFFF" w:val="clear"/>
          </w:tcPr>
          <w:p>
            <w:r>
              <w:rPr>
                <w:b/>
                <w:bCs/>
                <w:color w:val="1B2A4A"/>
                <w:sz w:val="20"/>
                <w:szCs w:val="20"/>
              </w:rPr>
              <w:t xml:space="preserve">Cobertura de estoque</w:t>
            </w:r>
          </w:p>
        </w:tc>
        <w:tc>
          <w:tcPr>
            <w:tcW w:type="dxa" w:w="6800"/>
            <w:shd w:fill="FFFFFF" w:val="clear"/>
          </w:tcPr>
          <w:p>
            <w:r>
              <w:rPr>
                <w:sz w:val="20"/>
                <w:szCs w:val="20"/>
              </w:rPr>
              <w:t xml:space="preserve">quantos dias o estoque atual sustenta a demanda, sem repor.</w:t>
            </w:r>
          </w:p>
        </w:tc>
      </w:tr>
      <w:tr>
        <w:tc>
          <w:tcPr>
            <w:tcW w:type="dxa" w:w="3200"/>
            <w:shd w:fill="F4F6F9" w:val="clear"/>
          </w:tcPr>
          <w:p>
            <w:r>
              <w:rPr>
                <w:b/>
                <w:bCs/>
                <w:color w:val="1B2A4A"/>
                <w:sz w:val="20"/>
                <w:szCs w:val="20"/>
              </w:rPr>
              <w:t xml:space="preserve">Nível de Serviço / Z-score</w:t>
            </w:r>
          </w:p>
        </w:tc>
        <w:tc>
          <w:tcPr>
            <w:tcW w:type="dxa" w:w="6800"/>
            <w:shd w:fill="F4F6F9" w:val="clear"/>
          </w:tcPr>
          <w:p>
            <w:r>
              <w:rPr>
                <w:sz w:val="20"/>
                <w:szCs w:val="20"/>
              </w:rPr>
              <w:t xml:space="preserve">probabilidade de não haver ruptura; Z é o fator estatístico correspondente.</w:t>
            </w:r>
          </w:p>
        </w:tc>
      </w:tr>
      <w:tr>
        <w:tc>
          <w:tcPr>
            <w:tcW w:type="dxa" w:w="3200"/>
            <w:shd w:fill="FFFFFF" w:val="clear"/>
          </w:tcPr>
          <w:p>
            <w:r>
              <w:rPr>
                <w:b/>
                <w:bCs/>
                <w:color w:val="1B2A4A"/>
                <w:sz w:val="20"/>
                <w:szCs w:val="20"/>
              </w:rPr>
              <w:t xml:space="preserve">EOQ</w:t>
            </w:r>
          </w:p>
        </w:tc>
        <w:tc>
          <w:tcPr>
            <w:tcW w:type="dxa" w:w="6800"/>
            <w:shd w:fill="FFFFFF" w:val="clear"/>
          </w:tcPr>
          <w:p>
            <w:r>
              <w:rPr>
                <w:sz w:val="20"/>
                <w:szCs w:val="20"/>
              </w:rPr>
              <w:t xml:space="preserve">lote de compra que minimiza custo total (pedido + manutenção de estoque).</w:t>
            </w:r>
          </w:p>
        </w:tc>
      </w:tr>
      <w:tr>
        <w:tc>
          <w:tcPr>
            <w:tcW w:type="dxa" w:w="3200"/>
            <w:shd w:fill="F4F6F9" w:val="clear"/>
          </w:tcPr>
          <w:p>
            <w:r>
              <w:rPr>
                <w:b/>
                <w:bCs/>
                <w:color w:val="1B2A4A"/>
                <w:sz w:val="20"/>
                <w:szCs w:val="20"/>
              </w:rPr>
              <w:t xml:space="preserve">Taxa de posse</w:t>
            </w:r>
          </w:p>
        </w:tc>
        <w:tc>
          <w:tcPr>
            <w:tcW w:type="dxa" w:w="6800"/>
            <w:shd w:fill="F4F6F9" w:val="clear"/>
          </w:tcPr>
          <w:p>
            <w:r>
              <w:rPr>
                <w:sz w:val="20"/>
                <w:szCs w:val="20"/>
              </w:rPr>
              <w:t xml:space="preserve">custo anual de manter uma unidade em estoque (% do valor do item).</w:t>
            </w:r>
          </w:p>
        </w:tc>
      </w:tr>
      <w:tr>
        <w:tc>
          <w:tcPr>
            <w:tcW w:type="dxa" w:w="3200"/>
            <w:shd w:fill="FFFFFF" w:val="clear"/>
          </w:tcPr>
          <w:p>
            <w:r>
              <w:rPr>
                <w:b/>
                <w:bCs/>
                <w:color w:val="1B2A4A"/>
                <w:sz w:val="20"/>
                <w:szCs w:val="20"/>
              </w:rPr>
              <w:t xml:space="preserve">ROI</w:t>
            </w:r>
          </w:p>
        </w:tc>
        <w:tc>
          <w:tcPr>
            <w:tcW w:type="dxa" w:w="6800"/>
            <w:shd w:fill="FFFFFF" w:val="clear"/>
          </w:tcPr>
          <w:p>
            <w:r>
              <w:rPr>
                <w:sz w:val="20"/>
                <w:szCs w:val="20"/>
              </w:rPr>
              <w:t xml:space="preserve">retorno sobre investimento (benefício ÷ custo).</w:t>
            </w:r>
          </w:p>
        </w:tc>
      </w:tr>
    </w:tbl>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9"/>
          <w:szCs w:val="19"/>
        </w:rPr>
        <w:t xml:space="preserve">No projeto, o pipeline segue 6 notebooks em sequência: (1) EDA, Análise Exploratória de Dados, (2) Limpeza e Preparação, (3) Desempenho de Fornecedores, (4) Classificação ABC-XYZ, (5) Previsão de Demanda e (6) Otimização de Estoque. Cada etapa consome o resultado da anterior, por isso a ordem importa.</w:t>
      </w:r>
    </w:p>
  </w:footnote>
  <w:footnote w:id="2">
    <w:p>
      <w:r>
        <w:rPr>
          <w:rStyle w:val="FootnoteReference"/>
        </w:rPr>
        <w:footnoteRef/>
      </w:r>
      <w:r>
        <w:rPr>
          <w:sz w:val="19"/>
          <w:szCs w:val="19"/>
        </w:rPr>
        <w:t xml:space="preserve">EPIs (capacete, luva, óculos, protetor auricular) têm demanda ligada a fatores regulatórios, como auditorias internas de segurança do trabalho (CIPA), o que explica picos de demanda em meses específicos do ano, além do pico sazonal geral do 4º trimestre.</w:t>
      </w:r>
    </w:p>
  </w:footnote>
  <w:footnote w:id="3">
    <w:p>
      <w:r>
        <w:rPr>
          <w:rStyle w:val="FootnoteReference"/>
        </w:rPr>
        <w:footnoteRef/>
      </w:r>
      <w:r>
        <w:rPr>
          <w:sz w:val="19"/>
          <w:szCs w:val="19"/>
        </w:rPr>
        <w:t xml:space="preserve">No notebook, lead_time_real = data_entrega_real − data_pedido (em dias). É a variável central para calcular o Ponto de Pedido e o Estoque de Segurança nas etapas finais do projeto.</w:t>
      </w:r>
    </w:p>
  </w:footnote>
  <w:footnote w:id="4">
    <w:p>
      <w:r>
        <w:rPr>
          <w:rStyle w:val="FootnoteReference"/>
        </w:rPr>
        <w:footnoteRef/>
      </w:r>
      <w:r>
        <w:rPr>
          <w:sz w:val="19"/>
          <w:szCs w:val="19"/>
        </w:rPr>
        <w:t xml:space="preserve">Aqui a granularidade é o pedido individual (id_pedido). Isso é diferente de uma base já agregada por mês ou por produto, granularidade fina dá mais liberdade analítica (dá para agregar por qualquer corte depois), mas exige mais cuidado na limpeza.</w:t>
      </w:r>
    </w:p>
  </w:footnote>
  <w:footnote w:id="5">
    <w:p>
      <w:r>
        <w:rPr>
          <w:rStyle w:val="FootnoteReference"/>
        </w:rPr>
        <w:footnoteRef/>
      </w:r>
      <w:r>
        <w:rPr>
          <w:sz w:val="19"/>
          <w:szCs w:val="19"/>
        </w:rPr>
        <w:t xml:space="preserve">Sazonalidade é diferente de tendência: tendência é uma direção de longo prazo (crescer ou cair ao longo dos anos); sazonalidade é um ciclo que se repete todo ano no mesmo período, independente da tendência.</w:t>
      </w:r>
    </w:p>
  </w:footnote>
  <w:footnote w:id="6">
    <w:p>
      <w:r>
        <w:rPr>
          <w:rStyle w:val="FootnoteReference"/>
        </w:rPr>
        <w:footnoteRef/>
      </w:r>
      <w:r>
        <w:rPr>
          <w:sz w:val="19"/>
          <w:szCs w:val="19"/>
        </w:rPr>
        <w:t xml:space="preserve">O critério prático usado aqui: o mesmo padrão (pico no T4, queda no T1) se repetiu de forma idêntica em 3 anos consecutivos, e a intensidade do pico está crescendo de forma monotônica (sempre na mesma direção), isso é forte evidência de causa estrutural, não coincidência.</w:t>
      </w:r>
    </w:p>
  </w:footnote>
  <w:footnote w:id="7">
    <w:p>
      <w:r>
        <w:rPr>
          <w:rStyle w:val="FootnoteReference"/>
        </w:rPr>
        <w:footnoteRef/>
      </w:r>
      <w:r>
        <w:rPr>
          <w:sz w:val="19"/>
          <w:szCs w:val="19"/>
        </w:rPr>
        <w:t xml:space="preserve">Isso é comum em variáveis de tempo/espera (atraso, tempo de fila, tempo de resposta). A implicação prática: usar a média sozinha pode enganar, porque poucos casos extremos puxam a média para cima, por isso o notebook olha também a mediana e a distribuição completa.</w:t>
      </w:r>
    </w:p>
  </w:footnote>
  <w:footnote w:id="8">
    <w:p>
      <w:r>
        <w:rPr>
          <w:rStyle w:val="FootnoteReference"/>
        </w:rPr>
        <w:footnoteRef/>
      </w:r>
      <w:r>
        <w:rPr>
          <w:sz w:val="19"/>
          <w:szCs w:val="19"/>
        </w:rPr>
        <w:t xml:space="preserve">É mais rigoroso que medir prazo e quantidade separadamente: um pedido que chega completo, mas atrasado, já não conta como OTIF; um pedido que chega no prazo, mas incompleto, também não conta. O benchmark de mercado costuma ser OTIF ≥ 95%; neste projeto foi adotada uma meta interna de 90%.</w:t>
      </w:r>
    </w:p>
  </w:footnote>
  <w:footnote w:id="9">
    <w:p>
      <w:r>
        <w:rPr>
          <w:rStyle w:val="FootnoteReference"/>
        </w:rPr>
        <w:footnoteRef/>
      </w:r>
      <w:r>
        <w:rPr>
          <w:sz w:val="19"/>
          <w:szCs w:val="19"/>
        </w:rPr>
        <w:t xml:space="preserve">O projeto usa dois patamares: 90% como meta interna (realista, baseada na mediana observada dos dados) e 95% como benchmark de mercado citado como referência aspiracional para cadeias de suprimentos de alta performance.</w:t>
      </w:r>
    </w:p>
  </w:footnote>
  <w:footnote w:id="10">
    <w:p>
      <w:r>
        <w:rPr>
          <w:rStyle w:val="FootnoteReference"/>
        </w:rPr>
        <w:footnoteRef/>
      </w:r>
      <w:r>
        <w:rPr>
          <w:sz w:val="19"/>
          <w:szCs w:val="19"/>
        </w:rPr>
        <w:t xml:space="preserve">É a mesma lógica da Curva ABC do Slide 11, só que aplicada a fornecedores em vez de produtos. Em ambos os casos, o objetivo é encontrar onde o risco e o valor estão concentrados, para direcionar o esforço de gestão de forma proporcional.</w:t>
      </w:r>
    </w:p>
  </w:footnote>
  <w:footnote w:id="11">
    <w:p>
      <w:r>
        <w:rPr>
          <w:rStyle w:val="FootnoteReference"/>
        </w:rPr>
        <w:footnoteRef/>
      </w:r>
      <w:r>
        <w:rPr>
          <w:sz w:val="19"/>
          <w:szCs w:val="19"/>
        </w:rPr>
        <w:t xml:space="preserve">É “não supervisionado” porque o algoritmo não sabe de antemão o que é um fornecedor “bom” ou “ruim”, ele só enxerga números (OTIF, lead time etc.) e agrupa por proximidade estatística. Os rótulos (“Estratégico”, “Crítico”) foram atribuídos depois, por interpretação humana dos números de cada grupo.</w:t>
      </w:r>
    </w:p>
  </w:footnote>
  <w:footnote w:id="12">
    <w:p>
      <w:r>
        <w:rPr>
          <w:rStyle w:val="FootnoteReference"/>
        </w:rPr>
        <w:footnoteRef/>
      </w:r>
      <w:r>
        <w:rPr>
          <w:sz w:val="19"/>
          <w:szCs w:val="19"/>
        </w:rPr>
        <w:t xml:space="preserve">O Elbow Method olha a queda da inércia (soma das distâncias internas) conforme K aumenta, procurando o ponto de “cotovelo” onde aumentar K deixa de trazer ganho relevante. O Silhouette Score (de -1 a 1) mede o quão bem separados estão os clusters; quanto mais perto de 1, melhor. Neste projeto, os dois métodos convergiram para K=3, com Silhouette de 0,62.</w:t>
      </w:r>
    </w:p>
  </w:footnote>
  <w:footnote w:id="13">
    <w:p>
      <w:r>
        <w:rPr>
          <w:rStyle w:val="FootnoteReference"/>
        </w:rPr>
        <w:footnoteRef/>
      </w:r>
      <w:r>
        <w:rPr>
          <w:sz w:val="19"/>
          <w:szCs w:val="19"/>
        </w:rPr>
        <w:t xml:space="preserve">Necessário porque OTIF varia entre 0 e 1, enquanto custo de frete varia em centenas de reais, sem normalizar, a variável de maior escala numérica dominaria o cálculo de distância do K-means de forma artificial.</w:t>
      </w:r>
    </w:p>
  </w:footnote>
  <w:footnote w:id="14">
    <w:p>
      <w:r>
        <w:rPr>
          <w:rStyle w:val="FootnoteReference"/>
        </w:rPr>
        <w:footnoteRef/>
      </w:r>
      <w:r>
        <w:rPr>
          <w:sz w:val="19"/>
          <w:szCs w:val="19"/>
        </w:rPr>
        <w:t xml:space="preserve">Convenção usada no projeto: Classe A = itens até 80% do valor acumulado; Classe B = de 80% a 95%; Classe C = os 5% finais. Esses cortes (80/95) são convenção de mercado, não uma lei matemática, podem ser ajustados ao contexto do negócio.</w:t>
      </w:r>
    </w:p>
  </w:footnote>
  <w:footnote w:id="15">
    <w:p>
      <w:r>
        <w:rPr>
          <w:rStyle w:val="FootnoteReference"/>
        </w:rPr>
        <w:footnoteRef/>
      </w:r>
      <w:r>
        <w:rPr>
          <w:sz w:val="19"/>
          <w:szCs w:val="19"/>
        </w:rPr>
        <w:t xml:space="preserve">Critério usado: X = CV menor que 20% (demanda estável); Y = CV entre 20% e 50% (moderadamente variável); Z = CV maior ou igual a 50% (demanda praticamente imprevisível).</w:t>
      </w:r>
    </w:p>
  </w:footnote>
  <w:footnote w:id="16">
    <w:p>
      <w:r>
        <w:rPr>
          <w:rStyle w:val="FootnoteReference"/>
        </w:rPr>
        <w:footnoteRef/>
      </w:r>
      <w:r>
        <w:rPr>
          <w:sz w:val="19"/>
          <w:szCs w:val="19"/>
        </w:rPr>
        <w:t xml:space="preserve">Fórmula: CV = σ / μ × 100. A vantagem do CV sobre olhar o desvio padrão sozinho é que ele é adimensional, permite comparar a variabilidade de um produto que vende 100 unidades/mês com outro que vende 40.000 unidades/mês, em pé de igualdade.</w:t>
      </w:r>
    </w:p>
  </w:footnote>
  <w:footnote w:id="17">
    <w:p>
      <w:r>
        <w:rPr>
          <w:rStyle w:val="FootnoteReference"/>
        </w:rPr>
        <w:footnoteRef/>
      </w:r>
      <w:r>
        <w:rPr>
          <w:sz w:val="19"/>
          <w:szCs w:val="19"/>
        </w:rPr>
        <w:t xml:space="preserve">Fórmula: MAPE = média(|real − previsto| / real) × 100. Interpretação usada no projeto: menos de 10% é excelente; 10–20% é bom para demanda variável; 20–30% é aceitável para itens de alta variabilidade (Classe Y); acima de 30% pede revisão do modelo.</w:t>
      </w:r>
    </w:p>
  </w:footnote>
  <w:footnote w:id="18">
    <w:p>
      <w:r>
        <w:rPr>
          <w:rStyle w:val="FootnoteReference"/>
        </w:rPr>
        <w:footnoteRef/>
      </w:r>
      <w:r>
        <w:rPr>
          <w:sz w:val="19"/>
          <w:szCs w:val="19"/>
        </w:rPr>
        <w:t xml:space="preserve">É diferente do K-Fold tradicional, que embaralha os dados aleatoriamente, o que em séries temporais causaria vazamento de dados (o modelo “veria” o futuro durante o treino, inflando artificialmente a acurácia). Neste projeto, foram usados 6 passos de validação (últimos 6 meses do histórico).</w:t>
      </w:r>
    </w:p>
  </w:footnote>
  <w:footnote w:id="19">
    <w:p>
      <w:r>
        <w:rPr>
          <w:rStyle w:val="FootnoteReference"/>
        </w:rPr>
        <w:footnoteRef/>
      </w:r>
      <w:r>
        <w:rPr>
          <w:sz w:val="19"/>
          <w:szCs w:val="19"/>
        </w:rPr>
        <w:t xml:space="preserve">Holt-Winters (suavização exponencial com tendência e sazonalidade aditivas) e SARIMA (modelo autoregressivo sazonal) são estatísticos clássicos. XGBoost é gradient boosting sobre variáveis de lag (valores passados) e médias móveis. Prophet é um modelo bayesiano desenvolvido pela Meta, feito para lidar bem com mudanças de tendência (changepoints).</w:t>
      </w:r>
    </w:p>
  </w:footnote>
  <w:footnote w:id="20">
    <w:p>
      <w:r>
        <w:rPr>
          <w:rStyle w:val="FootnoteReference"/>
        </w:rPr>
        <w:footnoteRef/>
      </w:r>
      <w:r>
        <w:rPr>
          <w:sz w:val="19"/>
          <w:szCs w:val="19"/>
        </w:rPr>
        <w:t xml:space="preserve">Alternativa a isso seria treinar um modelo direto para cada horizonte (um modelo só para “daqui a 1 mês”, outro só para “daqui a 3 meses”). A abordagem recursiva é mais simples de implementar, mas acumula incerteza a cada passo à frente.</w:t>
      </w:r>
    </w:p>
  </w:footnote>
  <w:footnote w:id="21">
    <w:p>
      <w:r>
        <w:rPr>
          <w:rStyle w:val="FootnoteReference"/>
        </w:rPr>
        <w:footnoteRef/>
      </w:r>
      <w:r>
        <w:rPr>
          <w:sz w:val="19"/>
          <w:szCs w:val="19"/>
        </w:rPr>
        <w:t xml:space="preserve">Neste projeto, o horizonte foi fixado em 3 meses, uma escolha deliberada: itens de classe Y (demanda variável) perdem confiabilidade de previsão rapidamente em janelas mais longas, e o uso prático da previsão (calcular Estoque de Segurança e Ponto de Pedido) não exige um horizonte maior.</w:t>
      </w:r>
    </w:p>
  </w:footnote>
  <w:footnote w:id="22">
    <w:p>
      <w:r>
        <w:rPr>
          <w:rStyle w:val="FootnoteReference"/>
        </w:rPr>
        <w:footnoteRef/>
      </w:r>
      <w:r>
        <w:rPr>
          <w:sz w:val="19"/>
          <w:szCs w:val="19"/>
        </w:rPr>
        <w:t xml:space="preserve">Fórmula: PP = Demanda média diária × Lead Time médio + Estoque de Segurança. As duas primeiras parcelas cobrem o consumo esperado durante a espera pela entrega; o Estoque de Segurança (Slide 16) cobre as variações inesperadas.</w:t>
      </w:r>
    </w:p>
  </w:footnote>
  <w:footnote w:id="23">
    <w:p>
      <w:r>
        <w:rPr>
          <w:rStyle w:val="FootnoteReference"/>
        </w:rPr>
        <w:footnoteRef/>
      </w:r>
      <w:r>
        <w:rPr>
          <w:sz w:val="19"/>
          <w:szCs w:val="19"/>
        </w:rPr>
        <w:t xml:space="preserve">Fórmula: Cobertura = Estoque Disponível / Demanda Média Diária Prevista. É uma forma intuitiva de traduzir um número absoluto de unidades em uma medida de tempo, mais fácil de comunicar para quem não trabalha com estoque no dia a dia.</w:t>
      </w:r>
    </w:p>
  </w:footnote>
  <w:footnote w:id="24">
    <w:p>
      <w:r>
        <w:rPr>
          <w:rStyle w:val="FootnoteReference"/>
        </w:rPr>
        <w:footnoteRef/>
      </w:r>
      <w:r>
        <w:rPr>
          <w:sz w:val="19"/>
          <w:szCs w:val="19"/>
        </w:rPr>
        <w:t xml:space="preserve">Neste projeto foi adotado NS = 98% para os itens AY (dado o alto valor financeiro em jogo), o que corresponde a Z ≈ 2,054 (obtido pela função norm.ppf(0.98) em Python). Quanto maior o nível de serviço desejado, maior o Z, e maior o Estoque de Segurança necessário.</w:t>
      </w:r>
    </w:p>
  </w:footnote>
  <w:footnote w:id="25">
    <w:p>
      <w:r>
        <w:rPr>
          <w:rStyle w:val="FootnoteReference"/>
        </w:rPr>
        <w:footnoteRef/>
      </w:r>
      <w:r>
        <w:rPr>
          <w:sz w:val="19"/>
          <w:szCs w:val="19"/>
        </w:rPr>
        <w:t xml:space="preserve">Fórmula: ES = Z × √(LT × σD² + D² × σLT²). O termo dentro da raiz combina duas fontes de incerteza ao mesmo tempo: LT × σD² é o risco da demanda variar durante o prazo de entrega; D² × σLT² é o risco do próprio fornecedor atrasar com demanda constante.</w:t>
      </w:r>
    </w:p>
  </w:footnote>
  <w:footnote w:id="26">
    <w:p>
      <w:r>
        <w:rPr>
          <w:rStyle w:val="FootnoteReference"/>
        </w:rPr>
        <w:footnoteRef/>
      </w:r>
      <w:r>
        <w:rPr>
          <w:sz w:val="19"/>
          <w:szCs w:val="19"/>
        </w:rPr>
        <w:t xml:space="preserve">Neste projeto foi usada uma taxa de posse de 20% ao ano (I = 0,20). O custo de manutenção total é: Estoque de Segurança × Preço Unitário × Taxa de Posse.</w:t>
      </w:r>
    </w:p>
  </w:footnote>
  <w:footnote w:id="27">
    <w:p>
      <w:r>
        <w:rPr>
          <w:rStyle w:val="FootnoteReference"/>
        </w:rPr>
        <w:footnoteRef/>
      </w:r>
      <w:r>
        <w:rPr>
          <w:sz w:val="19"/>
          <w:szCs w:val="19"/>
        </w:rPr>
        <w:t xml:space="preserve">Fórmula: EOQ = √(2 × Demanda Anual × Custo de Emissão por Pedido / Custo de Manutenção Unitário Anual). Pedir em lotes menores que o EOQ aumenta o custo de emissão de pedidos (mais pedidos/ano); pedir em lotes maiores aumenta o custo de manter estoque parado. O EOQ é o ponto de equilíbrio entre os dois.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rFonts w:ascii="Cambria" w:cs="Cambria" w:eastAsia="Cambria" w:hAnsi="Cambria"/>
      <w:b/>
      <w:bCs/>
      <w:color w:val="1B2A4A"/>
      <w:sz w:val="46"/>
      <w:szCs w:val="46"/>
    </w:rPr>
  </w:style>
  <w:style w:type="paragraph" w:styleId="Heading1">
    <w:name w:val="Heading 1"/>
    <w:basedOn w:val="Normal"/>
    <w:next w:val="Normal"/>
    <w:qFormat/>
    <w:rPr>
      <w:rFonts w:ascii="Cambria" w:cs="Cambria" w:eastAsia="Cambria" w:hAnsi="Cambria"/>
      <w:b/>
      <w:bCs/>
      <w:color w:val="1B2A4A"/>
      <w:sz w:val="40"/>
      <w:szCs w:val="40"/>
    </w:rPr>
  </w:style>
  <w:style w:type="paragraph" w:styleId="Heading2">
    <w:name w:val="Heading 2"/>
    <w:basedOn w:val="Normal"/>
    <w:next w:val="Normal"/>
    <w:qFormat/>
    <w:rPr>
      <w:rFonts w:ascii="Cambria" w:cs="Cambria" w:eastAsia="Cambria" w:hAnsi="Cambria"/>
      <w:b/>
      <w:bCs/>
      <w:color w:val="1B2A4A"/>
      <w:sz w:val="28"/>
      <w:szCs w:val="28"/>
    </w:rPr>
  </w:style>
  <w:style w:type="paragraph" w:styleId="Heading3">
    <w:name w:val="Heading 3"/>
    <w:basedOn w:val="Normal"/>
    <w:next w:val="Normal"/>
    <w:qFormat/>
    <w:rPr>
      <w:rFonts w:ascii="Cambria" w:cs="Cambria" w:eastAsia="Cambria" w:hAnsi="Cambria"/>
      <w:b/>
      <w:bCs/>
      <w:color w:val="1B2A4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Roteiro de Apresentação, Cadeia de Suprimentos</dc:title>
  <dc:creator>Rafael V.</dc:creator>
  <dc:description>Guia de estudo slide a slide para a apresentação do projeto de Ciência de Dados em Supply Chain.</dc:description>
  <cp:lastModifiedBy>Un-named</cp:lastModifiedBy>
  <cp:revision>1</cp:revision>
  <dcterms:created xsi:type="dcterms:W3CDTF">2026-08-12T00:39:46.879Z</dcterms:created>
  <dcterms:modified xsi:type="dcterms:W3CDTF">2026-08-12T00:39:46.879Z</dcterms:modified>
</cp:coreProperties>
</file>

<file path=docProps/custom.xml><?xml version="1.0" encoding="utf-8"?>
<Properties xmlns="http://schemas.openxmlformats.org/officeDocument/2006/custom-properties" xmlns:vt="http://schemas.openxmlformats.org/officeDocument/2006/docPropsVTypes"/>
</file>