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Compliant Defense Services Support Agreement</w:t>
      </w:r>
    </w:p>
    <w:p>
      <w:pPr>
        <w:pStyle w:val="Heading1"/>
      </w:pPr>
      <w:r>
        <w:t>Parties and Recitals</w:t>
      </w:r>
    </w:p>
    <w:p>
      <w:r>
        <w:t>This Compliant Defense Services Support Agreement is entered into by Garuda Defense Services Authority, a fictional Indonesian defense-services buyer, and Archipelago Secure Systems Ltd., a fictional supplier.</w:t>
      </w:r>
    </w:p>
    <w:p>
      <w:r>
        <w:t>The parties intend this synthetic agreement to represent a clean baseline for managed support, maintenance, and secure data handling services in a regulated defense operating environment.</w:t>
      </w:r>
    </w:p>
    <w:p>
      <w:pPr>
        <w:pStyle w:val="Heading1"/>
      </w:pPr>
      <w:r>
        <w:t>Section 1. Definitions</w:t>
      </w:r>
    </w:p>
    <w:p>
      <w:r>
        <w:t>Confidential Information means non-public technical, operational, procurement, security, and commercial information disclosed in connection with the services.</w:t>
      </w:r>
    </w:p>
    <w:p>
      <w:r>
        <w:t>Customer Data means all information, records, telemetry, logs, service tickets, and support materials submitted by Buyer or generated from Buyer's systems.</w:t>
      </w:r>
    </w:p>
    <w:p>
      <w:r>
        <w:t>Sensitive Data means Customer Data designated by Buyer as sensitive, restricted, mission-related, export-controlled, personal, or security-relevant.</w:t>
      </w:r>
    </w:p>
    <w:p>
      <w:pPr>
        <w:pStyle w:val="Heading1"/>
      </w:pPr>
      <w:r>
        <w:t>Section 2. Scope of Services</w:t>
      </w:r>
    </w:p>
    <w:p>
      <w:r>
        <w:t>Supplier shall provide managed support, incident triage, configuration assistance, maintenance coordination, release support, and technical reporting for the platforms listed in Schedule A.</w:t>
      </w:r>
    </w:p>
    <w:p>
      <w:r>
        <w:t>Supplier shall perform the services using trained personnel, documented procedures, controlled tooling, and the service levels agreed by the parties.</w:t>
      </w:r>
    </w:p>
    <w:p>
      <w:r>
        <w:br w:type="page"/>
      </w:r>
    </w:p>
    <w:p>
      <w:pPr>
        <w:pStyle w:val="Heading1"/>
      </w:pPr>
      <w:r>
        <w:t>Section 6. Data Handling</w:t>
      </w:r>
    </w:p>
    <w:p>
      <w:r>
        <w:t>6.1 Supplier shall process Customer Data only within approved client-controlled systems and only as necessary to perform the services under Buyer's documented instructions.</w:t>
      </w:r>
    </w:p>
    <w:p>
      <w:r>
        <w:t>6.2 Supplier shall not use external or public cloud services for Customer Data unless Buyer gives prior written consent in a signed amendment.</w:t>
      </w:r>
    </w:p>
    <w:p>
      <w:r>
        <w:t>6.3 Supplier shall maintain a current record of processing activities covering location, retention, return, and verified deletion of Customer Data and shall make that record available to Buyer upon request.</w:t>
      </w:r>
    </w:p>
    <w:p>
      <w:r>
        <w:t>6.4 Supplier shall not transfer Customer Data outside the approved operating region without Buyer's prior written consent.</w:t>
      </w:r>
    </w:p>
    <w:p>
      <w:r>
        <w:br w:type="page"/>
      </w:r>
    </w:p>
    <w:p>
      <w:pPr>
        <w:pStyle w:val="Heading1"/>
      </w:pPr>
      <w:r>
        <w:t>Section 8. Security</w:t>
      </w:r>
    </w:p>
    <w:p>
      <w:r>
        <w:t>8.1 Supplier shall maintain administrative, technical, and physical safeguards consistent with industry standards to protect Customer Data.</w:t>
      </w:r>
    </w:p>
    <w:p>
      <w:r>
        <w:t>8.2 Supplier shall notify Buyer within 24 hours after confirming any security incident affecting Customer Data or service environments.</w:t>
      </w:r>
    </w:p>
    <w:p>
      <w:r>
        <w:t>8.3 Supplier shall maintain documented access control, encryption, logging, and vulnerability management procedures for the services.</w:t>
      </w:r>
    </w:p>
    <w:p>
      <w:pPr>
        <w:pStyle w:val="Heading1"/>
      </w:pPr>
      <w:r>
        <w:t>Section 9. Confidentiality</w:t>
      </w:r>
    </w:p>
    <w:p>
      <w:r>
        <w:t>9.1 Each party shall protect the other party's Confidential Information using at least reasonable care and no less than the care used for its own comparable information.</w:t>
      </w:r>
    </w:p>
    <w:p>
      <w:r>
        <w:t>9.2 The Supplier may disclose Confidential Information to its Affiliates only on a need-to-know basis and only where such Affiliates are bound by equivalent confidentiality obligations.</w:t>
      </w:r>
    </w:p>
    <w:p>
      <w:r>
        <w:t>9.3 Confidential Information shall not be disclosed publicly or to unrelated third parties except with Buyer's prior written consent or as required by law.</w:t>
      </w:r>
    </w:p>
    <w:p>
      <w:pPr>
        <w:pStyle w:val="Heading1"/>
      </w:pPr>
      <w:r>
        <w:t>Section 10. Audit and Inspection</w:t>
      </w:r>
    </w:p>
    <w:p>
      <w:r>
        <w:t>10.1 Customer has an audit right to inspect Supplier's records, controls, facilities, and systems relevant to the services upon reasonable notice.</w:t>
      </w:r>
    </w:p>
    <w:p>
      <w:r>
        <w:t>10.2 Supplier shall provide independent evidence, including third-party assessment reports, control test results, and remediation records, when reasonably requested by Customer.</w:t>
      </w:r>
    </w:p>
    <w:p>
      <w:r>
        <w:br w:type="page"/>
      </w:r>
    </w:p>
    <w:p>
      <w:pPr>
        <w:pStyle w:val="Heading1"/>
      </w:pPr>
      <w:r>
        <w:t>Section 11. Subcontractors</w:t>
      </w:r>
    </w:p>
    <w:p>
      <w:r>
        <w:t>11.1 The Supplier may grant a subcontractor access to Sensitive Data only with Buyer's prior written approval.</w:t>
      </w:r>
    </w:p>
    <w:p>
      <w:r>
        <w:t>11.2 Any subcontractor engaged by Supplier shall be bound by security, confidentiality, audit, and data-protection obligations no less protective than those in this Agreement.</w:t>
      </w:r>
    </w:p>
    <w:p>
      <w:r>
        <w:t>11.3 Supplier remains fully responsible for subcontractor acts and omissions as if they were Supplier's own acts and omissions.</w:t>
      </w:r>
    </w:p>
    <w:p>
      <w:r>
        <w:br w:type="page"/>
      </w:r>
    </w:p>
    <w:p>
      <w:pPr>
        <w:pStyle w:val="Heading1"/>
      </w:pPr>
      <w:r>
        <w:t>Section 13. Intellectual Property</w:t>
      </w:r>
    </w:p>
    <w:p>
      <w:r>
        <w:t>13.1 The Buyer owns all bespoke Deliverables created under this Agreement. The Supplier retains ownership of pre-existing Background IP and grants the Buyer a perpetual, irrevocable license to use Background IP embedded in the Deliverables.</w:t>
      </w:r>
    </w:p>
    <w:p>
      <w:r>
        <w:br w:type="page"/>
      </w:r>
    </w:p>
    <w:p>
      <w:pPr>
        <w:pStyle w:val="Heading1"/>
      </w:pPr>
      <w:r>
        <w:t>Section 15. Liability</w:t>
      </w:r>
    </w:p>
    <w:p>
      <w:r>
        <w:t>15.1 Each party's aggregate liability shall not exceed the fees paid in the preceding twelve months.</w:t>
      </w:r>
    </w:p>
    <w:p>
      <w:r>
        <w:t>15.2 The liability cap does not apply to confidentiality breaches, security or data incidents, intellectual property infringement, fraud, or wilful misconduct.</w:t>
      </w:r>
    </w:p>
    <w:p>
      <w:r>
        <w:t>15.3 Supplier shall indemnify Buyer against third-party claims that a Deliverable infringes a third party's intellectual property rights.</w:t>
      </w:r>
    </w:p>
    <w:p>
      <w:r>
        <w:br w:type="page"/>
      </w:r>
    </w:p>
    <w:p>
      <w:pPr>
        <w:pStyle w:val="Heading1"/>
      </w:pPr>
      <w:r>
        <w:t>Section 17. Termination</w:t>
      </w:r>
    </w:p>
    <w:p>
      <w:r>
        <w:t>17.1 Either party may terminate this Agreement for uncured material breach upon thirty days' written notice.</w:t>
      </w:r>
    </w:p>
    <w:p>
      <w:r>
        <w:t>17.2 Upon termination for material breach or a security incident, the Supplier shall return or verifiably delete all Customer Data and provide reasonable transition assistance.</w:t>
      </w:r>
    </w:p>
    <w:p>
      <w:pPr>
        <w:pStyle w:val="Heading1"/>
      </w:pPr>
      <w:r>
        <w:t>Section 18. General</w:t>
      </w:r>
    </w:p>
    <w:p>
      <w:r>
        <w:t>This synthetic agreement is governed by the law selected in Schedule C. Notices must be in writing. Amendments require signed written agreement by authorized representatives of both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