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CLOUDSERVE SOLUTIONS</w:t>
      </w:r>
    </w:p>
    <w:p>
      <w:pPr>
        <w:pStyle w:val="Title"/>
      </w:pPr>
      <w:r>
        <w:t>Stage One: Discovery Workbook</w:t>
      </w:r>
    </w:p>
    <w:p>
      <w:pPr>
        <w:jc w:val="center"/>
      </w:pPr>
      <w:r>
        <w:t>Evidence, problem framing, users and risks</w:t>
      </w:r>
    </w:p>
    <w:p>
      <w:r>
        <w:t>Draft prepared from the supplied capstone pack and current implementation. Review and personalize before submission.</w:t>
      </w:r>
    </w:p>
    <w:p>
      <w:r>
        <w:t>Project evidence date: 23 October 2026</w:t>
      </w:r>
    </w:p>
    <w:p>
      <w:pPr>
        <w:pStyle w:val="Heading1"/>
      </w:pPr>
      <w:r>
        <w:t>1. Evidence reviewed</w:t>
      </w:r>
    </w:p>
    <w:p>
      <w:pPr>
        <w:pStyle w:val="ListBullet"/>
      </w:pPr>
      <w:r>
        <w:t>Five supplied discovery interview transcripts: Head of Support Marcus Adeyemi, Tier One Agent Sofia Restrepo, Tier Two Engineer Daniel Okonkwo, Technical Writer Ines Varga, and customer Ravi Menon.</w:t>
      </w:r>
    </w:p>
    <w:p>
      <w:pPr>
        <w:pStyle w:val="ListBullet"/>
      </w:pPr>
      <w:r>
        <w:t>500 labelled development tickets, 80 labelled validation tickets, 200 senior-agent reference responses, and 29 support knowledge-base articles.</w:t>
      </w:r>
    </w:p>
    <w:p>
      <w:pPr>
        <w:pStyle w:val="ListBullet"/>
      </w:pPr>
      <w:r>
        <w:t>Build Specification, Evaluation Framework, Governance Framework, Dataset Guide and Submission Guide.</w:t>
      </w:r>
    </w:p>
    <w:p>
      <w:pPr>
        <w:pStyle w:val="Heading1"/>
      </w:pPr>
      <w:r>
        <w:t>2. Problem statement</w:t>
      </w:r>
    </w:p>
    <w:p>
      <w:r>
        <w:t>CloudServe receives more than 500 support tickets per week with six agents. First response is reported at 8–12 hours against a two-hour SLA; the support lead reports 42% first-contact resolution and CSAT of 3.2/5. The evidence suggests that repeated questions, poor internal document findability, low confidence in answers, and escalations without useful context contribute to the delay. The project is therefore a safe support workflow, not merely a chatbot: automate well-documented low-risk questions and provide richer context when escalating uncertain or sensitive cases.</w:t>
      </w:r>
    </w:p>
    <w:p>
      <w:pPr>
        <w:pStyle w:val="Heading1"/>
      </w:pPr>
      <w:r>
        <w:t>3. Stakeholder findings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Stakeholder</w:t>
            </w:r>
          </w:p>
        </w:tc>
        <w:tc>
          <w:tcPr>
            <w:tcW w:type="dxa" w:w="3360"/>
          </w:tcPr>
          <w:p>
            <w:r>
              <w:t>Finding</w:t>
            </w:r>
          </w:p>
        </w:tc>
        <w:tc>
          <w:tcPr>
            <w:tcW w:type="dxa" w:w="3360"/>
          </w:tcPr>
          <w:p>
            <w:r>
              <w:t>Design implication</w:t>
            </w:r>
          </w:p>
        </w:tc>
      </w:tr>
      <w:tr>
        <w:tc>
          <w:tcPr>
            <w:tcW w:type="dxa" w:w="3360"/>
          </w:tcPr>
          <w:p>
            <w:r>
              <w:t>Head of Support</w:t>
            </w:r>
          </w:p>
        </w:tc>
        <w:tc>
          <w:tcPr>
            <w:tcW w:type="dxa" w:w="3360"/>
          </w:tcPr>
          <w:p>
            <w:r>
              <w:t>SLA breach, cost of escalation, wrong answers unacceptable; enterprise customers have different agreements.</w:t>
            </w:r>
          </w:p>
        </w:tc>
        <w:tc>
          <w:tcPr>
            <w:tcW w:type="dxa" w:w="3360"/>
          </w:tcPr>
          <w:p>
            <w:r>
              <w:t>Track automation and safety; explain decisions; do not claim automation equals resolution.</w:t>
            </w:r>
          </w:p>
        </w:tc>
      </w:tr>
      <w:tr>
        <w:tc>
          <w:tcPr>
            <w:tcW w:type="dxa" w:w="3360"/>
          </w:tcPr>
          <w:p>
            <w:r>
              <w:t>Tier One Agent</w:t>
            </w:r>
          </w:p>
        </w:tc>
        <w:tc>
          <w:tcPr>
            <w:tcW w:type="dxa" w:w="3360"/>
          </w:tcPr>
          <w:p>
            <w:r>
              <w:t>Many tickets repeat; search and rewriting are time sinks; security must escalate; non-fluent English can cause misunderstanding.</w:t>
            </w:r>
          </w:p>
        </w:tc>
        <w:tc>
          <w:tcPr>
            <w:tcW w:type="dxa" w:w="3360"/>
          </w:tcPr>
          <w:p>
            <w:r>
              <w:t>Retrieve from approved docs; keep uncertainty and human-review paths.</w:t>
            </w:r>
          </w:p>
        </w:tc>
      </w:tr>
      <w:tr>
        <w:tc>
          <w:tcPr>
            <w:tcW w:type="dxa" w:w="3360"/>
          </w:tcPr>
          <w:p>
            <w:r>
              <w:t>Tier Two Engineer</w:t>
            </w:r>
          </w:p>
        </w:tc>
        <w:tc>
          <w:tcPr>
            <w:tcW w:type="dxa" w:w="3360"/>
          </w:tcPr>
          <w:p>
            <w:r>
              <w:t>Many escalations are answerable but lack summary, prior attempts and evidence.</w:t>
            </w:r>
          </w:p>
        </w:tc>
        <w:tc>
          <w:tcPr>
            <w:tcW w:type="dxa" w:w="3360"/>
          </w:tcPr>
          <w:p>
            <w:r>
              <w:t>Provide escalation summary, reason and retrieved sources.</w:t>
            </w:r>
          </w:p>
        </w:tc>
      </w:tr>
      <w:tr>
        <w:tc>
          <w:tcPr>
            <w:tcW w:type="dxa" w:w="3360"/>
          </w:tcPr>
          <w:p>
            <w:r>
              <w:t>Technical Writer</w:t>
            </w:r>
          </w:p>
        </w:tc>
        <w:tc>
          <w:tcPr>
            <w:tcW w:type="dxa" w:w="3360"/>
          </w:tcPr>
          <w:p>
            <w:r>
              <w:t>29 articles are reviewed, but internal search misses paraphrases; personal snippets are ungoverned.</w:t>
            </w:r>
          </w:p>
        </w:tc>
        <w:tc>
          <w:tcPr>
            <w:tcW w:type="dxa" w:w="3360"/>
          </w:tcPr>
          <w:p>
            <w:r>
              <w:t>Use traceable article passages; evaluate retrieval; do not train on private snippets.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Waiting cost differs by urgency; transparent sourced automation is acceptable; tier differences are noticed.</w:t>
            </w:r>
          </w:p>
        </w:tc>
        <w:tc>
          <w:tcPr>
            <w:tcW w:type="dxa" w:w="3360"/>
          </w:tcPr>
          <w:p>
            <w:r>
              <w:t>Disclose automated drafts, prioritize evidence and monitor group outcomes.</w:t>
            </w:r>
          </w:p>
        </w:tc>
      </w:tr>
    </w:tbl>
    <w:p>
      <w:pPr>
        <w:pStyle w:val="Heading1"/>
      </w:pPr>
      <w:r>
        <w:t>4. Data observations</w:t>
      </w:r>
    </w:p>
    <w:p>
      <w:pPr>
        <w:pStyle w:val="ListBullet"/>
      </w:pPr>
      <w:r>
        <w:t>Development labels: 311/500 expected auto-response (62.2%), 189/500 expected escalation (37.8%), 87/500 marked must_not_auto_respond (17.4%).</w:t>
      </w:r>
    </w:p>
    <w:p>
      <w:pPr>
        <w:pStyle w:val="ListBullet"/>
      </w:pPr>
      <w:r>
        <w:t>Validation labels: 48 expected auto-response and 32 expected escalation; 14 marked must_not_auto_respond.</w:t>
      </w:r>
    </w:p>
    <w:p>
      <w:pPr>
        <w:pStyle w:val="ListBullet"/>
      </w:pPr>
      <w:r>
        <w:t>The corpus has 29 articles across authentication, deployment, API, performance, billing, data, security, account, integration and onboarding topics.</w:t>
      </w:r>
    </w:p>
    <w:p>
      <w:pPr>
        <w:pStyle w:val="ListBullet"/>
      </w:pPr>
      <w:r>
        <w:t>The first measured validation run processed 80/80 tickets and logged 80/80 decisions; the selected policy auto-responded to 32 and escalated 48.</w:t>
      </w:r>
    </w:p>
    <w:p>
      <w:pPr>
        <w:pStyle w:val="Heading1"/>
      </w:pPr>
      <w:r>
        <w:t>5. Initial assumptions and risks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Assumption / risk</w:t>
            </w:r>
          </w:p>
        </w:tc>
        <w:tc>
          <w:tcPr>
            <w:tcW w:type="dxa" w:w="3360"/>
          </w:tcPr>
          <w:p>
            <w:r>
              <w:t>Evidence / uncertainty</w:t>
            </w:r>
          </w:p>
        </w:tc>
        <w:tc>
          <w:tcPr>
            <w:tcW w:type="dxa" w:w="3360"/>
          </w:tcPr>
          <w:p>
            <w:r>
              <w:t>Response</w:t>
            </w:r>
          </w:p>
        </w:tc>
      </w:tr>
      <w:tr>
        <w:tc>
          <w:tcPr>
            <w:tcW w:type="dxa" w:w="3360"/>
          </w:tcPr>
          <w:p>
            <w:r>
              <w:t>Documentation is authoritative for this capstone.</w:t>
            </w:r>
          </w:p>
        </w:tc>
        <w:tc>
          <w:tcPr>
            <w:tcW w:type="dxa" w:w="3360"/>
          </w:tcPr>
          <w:p>
            <w:r>
              <w:t>Technical writer says 29 reviewed articles are accurate within the review cycle, but coverage is incomplete.</w:t>
            </w:r>
          </w:p>
        </w:tc>
        <w:tc>
          <w:tcPr>
            <w:tcW w:type="dxa" w:w="3360"/>
          </w:tcPr>
          <w:p>
            <w:r>
              <w:t>Use only supplied docs; escalate unsupported questions; preserve article review metadata.</w:t>
            </w:r>
          </w:p>
        </w:tc>
      </w:tr>
      <w:tr>
        <w:tc>
          <w:tcPr>
            <w:tcW w:type="dxa" w:w="3360"/>
          </w:tcPr>
          <w:p>
            <w:r>
              <w:t>Automation can reduce delay without increasing harm.</w:t>
            </w:r>
          </w:p>
        </w:tc>
        <w:tc>
          <w:tcPr>
            <w:tcW w:type="dxa" w:w="3360"/>
          </w:tcPr>
          <w:p>
            <w:r>
              <w:t>Support lead explicitly prioritizes avoiding confidently wrong answers.</w:t>
            </w:r>
          </w:p>
        </w:tc>
        <w:tc>
          <w:tcPr>
            <w:tcW w:type="dxa" w:w="3360"/>
          </w:tcPr>
          <w:p>
            <w:r>
              <w:t>Mandatory escalation, answerability gate, response guardrails and human audit.</w:t>
            </w:r>
          </w:p>
        </w:tc>
      </w:tr>
      <w:tr>
        <w:tc>
          <w:tcPr>
            <w:tcW w:type="dxa" w:w="3360"/>
          </w:tcPr>
          <w:p>
            <w:r>
              <w:t>Classifier confidence is meaningful.</w:t>
            </w:r>
          </w:p>
        </w:tc>
        <w:tc>
          <w:tcPr>
            <w:tcW w:type="dxa" w:w="3360"/>
          </w:tcPr>
          <w:p>
            <w:r>
              <w:t>Raw probabilities are not inherently calibrated.</w:t>
            </w:r>
          </w:p>
        </w:tc>
        <w:tc>
          <w:tcPr>
            <w:tcW w:type="dxa" w:w="3360"/>
          </w:tcPr>
          <w:p>
            <w:r>
              <w:t>Sigmoid calibration on development data; validation reliability metrics; revisit on larger data.</w:t>
            </w:r>
          </w:p>
        </w:tc>
      </w:tr>
      <w:tr>
        <w:tc>
          <w:tcPr>
            <w:tcW w:type="dxa" w:w="3360"/>
          </w:tcPr>
          <w:p>
            <w:r>
              <w:t>Fairness may vary by language fluency, region or plan.</w:t>
            </w:r>
          </w:p>
        </w:tc>
        <w:tc>
          <w:tcPr>
            <w:tcW w:type="dxa" w:w="3360"/>
          </w:tcPr>
          <w:p>
            <w:r>
              <w:t>Interview reports worse CSAT for non-fluent English tickets and concern about enterprise SLA.</w:t>
            </w:r>
          </w:p>
        </w:tc>
        <w:tc>
          <w:tcPr>
            <w:tcW w:type="dxa" w:w="3360"/>
          </w:tcPr>
          <w:p>
            <w:r>
              <w:t>Report group rates and sample sizes; do not use group attributes as a shortcut for risk.</w:t>
            </w:r>
          </w:p>
        </w:tc>
      </w:tr>
      <w:tr>
        <w:tc>
          <w:tcPr>
            <w:tcW w:type="dxa" w:w="3360"/>
          </w:tcPr>
          <w:p>
            <w:r>
              <w:t>Hosted provider may be unavailable or unapproved for real data.</w:t>
            </w:r>
          </w:p>
        </w:tc>
        <w:tc>
          <w:tcPr>
            <w:tcW w:type="dxa" w:w="3360"/>
          </w:tcPr>
          <w:p>
            <w:r>
              <w:t>Free tiers throttle; provider privacy approval is unknown.</w:t>
            </w:r>
          </w:p>
        </w:tc>
        <w:tc>
          <w:tcPr>
            <w:tcW w:type="dxa" w:w="3360"/>
          </w:tcPr>
          <w:p>
            <w:r>
              <w:t>Offline template fallback; no key required; review privacy terms before real-ticket use.</w:t>
            </w:r>
          </w:p>
        </w:tc>
      </w:tr>
    </w:tbl>
    <w:p>
      <w:pPr>
        <w:pStyle w:val="Heading1"/>
      </w:pPr>
      <w:r>
        <w:t>6. Open questions</w:t>
      </w:r>
    </w:p>
    <w:p>
      <w:pPr>
        <w:pStyle w:val="ListBullet"/>
      </w:pPr>
      <w:r>
        <w:t>Can answers be sent autonomously or must agents approve drafts during the pilot?</w:t>
      </w:r>
    </w:p>
    <w:p>
      <w:pPr>
        <w:pStyle w:val="ListBullet"/>
      </w:pPr>
      <w:r>
        <w:t>Which exact categories are contractually mandatory escalation?</w:t>
      </w:r>
    </w:p>
    <w:p>
      <w:pPr>
        <w:pStyle w:val="ListBullet"/>
      </w:pPr>
      <w:r>
        <w:t>What counts as first response, meaningful response, resolution and reopened ticket?</w:t>
      </w:r>
    </w:p>
    <w:p>
      <w:pPr>
        <w:pStyle w:val="ListBullet"/>
      </w:pPr>
      <w:r>
        <w:t>What retention and deletion policy applies to ticket output and audit logs?</w:t>
      </w:r>
    </w:p>
    <w:p>
      <w:pPr>
        <w:pStyle w:val="ListBullet"/>
      </w:pPr>
      <w:r>
        <w:t>Is OpenRouter approved for customer content, and what redaction is required?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