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CLOUDSERVE SOLUTIONS</w:t>
      </w:r>
    </w:p>
    <w:p>
      <w:pPr>
        <w:pStyle w:val="Title"/>
      </w:pPr>
      <w:r>
        <w:t>Stage Two: Product Requirements Document</w:t>
      </w:r>
    </w:p>
    <w:p>
      <w:pPr>
        <w:jc w:val="center"/>
      </w:pPr>
      <w:r>
        <w:t>Requirements, priorities, success measures and traceability</w:t>
      </w:r>
    </w:p>
    <w:p>
      <w:r>
        <w:t>Draft prepared from the supplied capstone pack and current implementation. Review and personalize before submission.</w:t>
      </w:r>
    </w:p>
    <w:p>
      <w:r>
        <w:t>Project evidence date: 23 October 2026</w:t>
      </w:r>
    </w:p>
    <w:p>
      <w:pPr>
        <w:pStyle w:val="Heading1"/>
      </w:pPr>
      <w:r>
        <w:t>1. Product objective</w:t>
      </w:r>
    </w:p>
    <w:p>
      <w:r>
        <w:t>Deliver an unattended, auditable support-ticket pipeline that normalizes four channels, classifies intent and urgency, retrieves approved documentation, generates evidence-grounded answers only when safe, and escalates cases needing a person. The first gate is clean-checkout execution over any supplied input file, not a polished chat UI.</w:t>
      </w:r>
    </w:p>
    <w:p>
      <w:pPr>
        <w:pStyle w:val="Heading1"/>
      </w:pPr>
      <w:r>
        <w:t>2. User needs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User</w:t>
            </w:r>
          </w:p>
        </w:tc>
        <w:tc>
          <w:tcPr>
            <w:tcW w:type="dxa" w:w="3360"/>
          </w:tcPr>
          <w:p>
            <w:r>
              <w:t>Need</w:t>
            </w:r>
          </w:p>
        </w:tc>
        <w:tc>
          <w:tcPr>
            <w:tcW w:type="dxa" w:w="3360"/>
          </w:tcPr>
          <w:p>
            <w:r>
              <w:t>Success signal</w:t>
            </w:r>
          </w:p>
        </w:tc>
      </w:tr>
      <w:tr>
        <w:tc>
          <w:tcPr>
            <w:tcW w:type="dxa" w:w="3360"/>
          </w:tcPr>
          <w:p>
            <w:r>
              <w:t>Customer</w:t>
            </w:r>
          </w:p>
        </w:tc>
        <w:tc>
          <w:tcPr>
            <w:tcW w:type="dxa" w:w="3360"/>
          </w:tcPr>
          <w:p>
            <w:r>
              <w:t>Useful, transparent answer for routine documented questions; no invented policy.</w:t>
            </w:r>
          </w:p>
        </w:tc>
        <w:tc>
          <w:tcPr>
            <w:tcW w:type="dxa" w:w="3360"/>
          </w:tcPr>
          <w:p>
            <w:r>
              <w:t>Grounded response with citation or clear escalation.</w:t>
            </w:r>
          </w:p>
        </w:tc>
      </w:tr>
      <w:tr>
        <w:tc>
          <w:tcPr>
            <w:tcW w:type="dxa" w:w="3360"/>
          </w:tcPr>
          <w:p>
            <w:r>
              <w:t>Tier One agent</w:t>
            </w:r>
          </w:p>
        </w:tc>
        <w:tc>
          <w:tcPr>
            <w:tcW w:type="dxa" w:w="3360"/>
          </w:tcPr>
          <w:p>
            <w:r>
              <w:t>Less search/rewrite work and clear reason when a ticket is escalated.</w:t>
            </w:r>
          </w:p>
        </w:tc>
        <w:tc>
          <w:tcPr>
            <w:tcW w:type="dxa" w:w="3360"/>
          </w:tcPr>
          <w:p>
            <w:r>
              <w:t>Source passages and summary attached to escalation.</w:t>
            </w:r>
          </w:p>
        </w:tc>
      </w:tr>
      <w:tr>
        <w:tc>
          <w:tcPr>
            <w:tcW w:type="dxa" w:w="3360"/>
          </w:tcPr>
          <w:p>
            <w:r>
              <w:t>Tier Two engineer</w:t>
            </w:r>
          </w:p>
        </w:tc>
        <w:tc>
          <w:tcPr>
            <w:tcW w:type="dxa" w:w="3360"/>
          </w:tcPr>
          <w:p>
            <w:r>
              <w:t>Context about issue, predicted intent, evidence and uncertainty.</w:t>
            </w:r>
          </w:p>
        </w:tc>
        <w:tc>
          <w:tcPr>
            <w:tcW w:type="dxa" w:w="3360"/>
          </w:tcPr>
          <w:p>
            <w:r>
              <w:t>Escalation summary is actionable and auditable.</w:t>
            </w:r>
          </w:p>
        </w:tc>
      </w:tr>
      <w:tr>
        <w:tc>
          <w:tcPr>
            <w:tcW w:type="dxa" w:w="3360"/>
          </w:tcPr>
          <w:p>
            <w:r>
              <w:t>Support manager</w:t>
            </w:r>
          </w:p>
        </w:tc>
        <w:tc>
          <w:tcPr>
            <w:tcW w:type="dxa" w:w="3360"/>
          </w:tcPr>
          <w:p>
            <w:r>
              <w:t>Reduce response delay without increasing unsafe answers.</w:t>
            </w:r>
          </w:p>
        </w:tc>
        <w:tc>
          <w:tcPr>
            <w:tcW w:type="dxa" w:w="3360"/>
          </w:tcPr>
          <w:p>
            <w:r>
              <w:t>Automation/esc escalation metrics plus safety and quality review.</w:t>
            </w:r>
          </w:p>
        </w:tc>
      </w:tr>
      <w:tr>
        <w:tc>
          <w:tcPr>
            <w:tcW w:type="dxa" w:w="3360"/>
          </w:tcPr>
          <w:p>
            <w:r>
              <w:t>Governance reviewer</w:t>
            </w:r>
          </w:p>
        </w:tc>
        <w:tc>
          <w:tcPr>
            <w:tcW w:type="dxa" w:w="3360"/>
          </w:tcPr>
          <w:p>
            <w:r>
              <w:t>Explain decisions and reconstruct source evidence.</w:t>
            </w:r>
          </w:p>
        </w:tc>
        <w:tc>
          <w:tcPr>
            <w:tcW w:type="dxa" w:w="3360"/>
          </w:tcPr>
          <w:p>
            <w:r>
              <w:t>Persistent log, stable IDs, guardrail outcomes and prompt version.</w:t>
            </w:r>
          </w:p>
        </w:tc>
      </w:tr>
    </w:tbl>
    <w:p>
      <w:pPr>
        <w:pStyle w:val="Heading1"/>
      </w:pPr>
      <w:r>
        <w:t>3. 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Requirement</w:t>
            </w:r>
          </w:p>
        </w:tc>
        <w:tc>
          <w:tcPr>
            <w:tcW w:type="dxa" w:w="2520"/>
          </w:tcPr>
          <w:p>
            <w:r>
              <w:t>Priority</w:t>
            </w:r>
          </w:p>
        </w:tc>
        <w:tc>
          <w:tcPr>
            <w:tcW w:type="dxa" w:w="2520"/>
          </w:tcPr>
          <w:p>
            <w:r>
              <w:t>Verification</w:t>
            </w:r>
          </w:p>
        </w:tc>
      </w:tr>
      <w:tr>
        <w:tc>
          <w:tcPr>
            <w:tcW w:type="dxa" w:w="2520"/>
          </w:tcPr>
          <w:p>
            <w:r>
              <w:t>FR-01</w:t>
            </w:r>
          </w:p>
        </w:tc>
        <w:tc>
          <w:tcPr>
            <w:tcW w:type="dxa" w:w="2520"/>
          </w:tcPr>
          <w:p>
            <w:r>
              <w:t>Normalize email, chat, docs comments and forum tickets into one schema; preserve original text and channel.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A2 / unit tests</w:t>
            </w:r>
          </w:p>
        </w:tc>
      </w:tr>
      <w:tr>
        <w:tc>
          <w:tcPr>
            <w:tcW w:type="dxa" w:w="2520"/>
          </w:tcPr>
          <w:p>
            <w:r>
              <w:t>FR-02</w:t>
            </w:r>
          </w:p>
        </w:tc>
        <w:tc>
          <w:tcPr>
            <w:tcW w:type="dxa" w:w="2520"/>
          </w:tcPr>
          <w:p>
            <w:r>
              <w:t>Predict intent, urgency, confidence and alternatives for each ticket.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A3 / metrics</w:t>
            </w:r>
          </w:p>
        </w:tc>
      </w:tr>
      <w:tr>
        <w:tc>
          <w:tcPr>
            <w:tcW w:type="dxa" w:w="2520"/>
          </w:tcPr>
          <w:p>
            <w:r>
              <w:t>FR-03</w:t>
            </w:r>
          </w:p>
        </w:tc>
        <w:tc>
          <w:tcPr>
            <w:tcW w:type="dxa" w:w="2520"/>
          </w:tcPr>
          <w:p>
            <w:r>
              <w:t>Retrieve ranked passages with stable document and passage IDs and text.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A4 / retrieval test</w:t>
            </w:r>
          </w:p>
        </w:tc>
      </w:tr>
      <w:tr>
        <w:tc>
          <w:tcPr>
            <w:tcW w:type="dxa" w:w="2520"/>
          </w:tcPr>
          <w:p>
            <w:r>
              <w:t>FR-04</w:t>
            </w:r>
          </w:p>
        </w:tc>
        <w:tc>
          <w:tcPr>
            <w:tcW w:type="dxa" w:w="2520"/>
          </w:tcPr>
          <w:p>
            <w:r>
              <w:t>Apply deterministic routing using route confidence, answerability and policy overrides.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A5 / threshold sweep</w:t>
            </w:r>
          </w:p>
        </w:tc>
      </w:tr>
      <w:tr>
        <w:tc>
          <w:tcPr>
            <w:tcW w:type="dxa" w:w="2520"/>
          </w:tcPr>
          <w:p>
            <w:r>
              <w:t>FR-05</w:t>
            </w:r>
          </w:p>
        </w:tc>
        <w:tc>
          <w:tcPr>
            <w:tcW w:type="dxa" w:w="2520"/>
          </w:tcPr>
          <w:p>
            <w:r>
              <w:t>Generate a grounded response with citations to retrieved sources.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A6 / human claim review</w:t>
            </w:r>
          </w:p>
        </w:tc>
      </w:tr>
      <w:tr>
        <w:tc>
          <w:tcPr>
            <w:tcW w:type="dxa" w:w="2520"/>
          </w:tcPr>
          <w:p>
            <w:r>
              <w:t>FR-06</w:t>
            </w:r>
          </w:p>
        </w:tc>
        <w:tc>
          <w:tcPr>
            <w:tcW w:type="dxa" w:w="2520"/>
          </w:tcPr>
          <w:p>
            <w:r>
              <w:t>Block responses with prompt injection, outbound PII or invalid citations.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A7 / guardrail tests</w:t>
            </w:r>
          </w:p>
        </w:tc>
      </w:tr>
      <w:tr>
        <w:tc>
          <w:tcPr>
            <w:tcW w:type="dxa" w:w="2520"/>
          </w:tcPr>
          <w:p>
            <w:r>
              <w:t>FR-07</w:t>
            </w:r>
          </w:p>
        </w:tc>
        <w:tc>
          <w:tcPr>
            <w:tcW w:type="dxa" w:w="2520"/>
          </w:tcPr>
          <w:p>
            <w:r>
              <w:t>Escalate with summary, reason and retrieved sources.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Output inspection</w:t>
            </w:r>
          </w:p>
        </w:tc>
      </w:tr>
      <w:tr>
        <w:tc>
          <w:tcPr>
            <w:tcW w:type="dxa" w:w="2520"/>
          </w:tcPr>
          <w:p>
            <w:r>
              <w:t>FR-08</w:t>
            </w:r>
          </w:p>
        </w:tc>
        <w:tc>
          <w:tcPr>
            <w:tcW w:type="dxa" w:w="2520"/>
          </w:tcPr>
          <w:p>
            <w:r>
              <w:t>Persist decision, confidence, reason, source IDs, guardrails, prompt version and latency.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A8 / reconciliation</w:t>
            </w:r>
          </w:p>
        </w:tc>
      </w:tr>
      <w:tr>
        <w:tc>
          <w:tcPr>
            <w:tcW w:type="dxa" w:w="2520"/>
          </w:tcPr>
          <w:p>
            <w:r>
              <w:t>FR-09</w:t>
            </w:r>
          </w:p>
        </w:tc>
        <w:tc>
          <w:tcPr>
            <w:tcW w:type="dxa" w:w="2520"/>
          </w:tcPr>
          <w:p>
            <w:r>
              <w:t>Process arbitrary input/output paths in one unattended batch.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A1/A9</w:t>
            </w:r>
          </w:p>
        </w:tc>
      </w:tr>
      <w:tr>
        <w:tc>
          <w:tcPr>
            <w:tcW w:type="dxa" w:w="2520"/>
          </w:tcPr>
          <w:p>
            <w:r>
              <w:t>FR-10</w:t>
            </w:r>
          </w:p>
        </w:tc>
        <w:tc>
          <w:tcPr>
            <w:tcW w:type="dxa" w:w="2520"/>
          </w:tcPr>
          <w:p>
            <w:r>
              <w:t>Write a metrics report automatically.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A10 / metrics.json</w:t>
            </w:r>
          </w:p>
        </w:tc>
      </w:tr>
      <w:tr>
        <w:tc>
          <w:tcPr>
            <w:tcW w:type="dxa" w:w="2520"/>
          </w:tcPr>
          <w:p>
            <w:r>
              <w:t>FR-11</w:t>
            </w:r>
          </w:p>
        </w:tc>
        <w:tc>
          <w:tcPr>
            <w:tcW w:type="dxa" w:w="2520"/>
          </w:tcPr>
          <w:p>
            <w:r>
              <w:t>Continue safely through malformed records, no retrieval, provider timeout and outage.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A11 / fault injection</w:t>
            </w:r>
          </w:p>
        </w:tc>
      </w:tr>
      <w:tr>
        <w:tc>
          <w:tcPr>
            <w:tcW w:type="dxa" w:w="2520"/>
          </w:tcPr>
          <w:p>
            <w:r>
              <w:t>FR-12</w:t>
            </w:r>
          </w:p>
        </w:tc>
        <w:tc>
          <w:tcPr>
            <w:tcW w:type="dxa" w:w="2520"/>
          </w:tcPr>
          <w:p>
            <w:r>
              <w:t>Provide tests and CI.</w:t>
            </w:r>
          </w:p>
        </w:tc>
        <w:tc>
          <w:tcPr>
            <w:tcW w:type="dxa" w:w="2520"/>
          </w:tcPr>
          <w:p>
            <w:r>
              <w:t>Must</w:t>
            </w:r>
          </w:p>
        </w:tc>
        <w:tc>
          <w:tcPr>
            <w:tcW w:type="dxa" w:w="2520"/>
          </w:tcPr>
          <w:p>
            <w:r>
              <w:t>A12 / pytest and Actions</w:t>
            </w:r>
          </w:p>
        </w:tc>
      </w:tr>
      <w:tr>
        <w:tc>
          <w:tcPr>
            <w:tcW w:type="dxa" w:w="2520"/>
          </w:tcPr>
          <w:p>
            <w:r>
              <w:t>FR-13</w:t>
            </w:r>
          </w:p>
        </w:tc>
        <w:tc>
          <w:tcPr>
            <w:tcW w:type="dxa" w:w="2520"/>
          </w:tcPr>
          <w:p>
            <w:r>
              <w:t>Provide FastAPI and Prometheus endpoints.</w:t>
            </w:r>
          </w:p>
        </w:tc>
        <w:tc>
          <w:tcPr>
            <w:tcW w:type="dxa" w:w="2520"/>
          </w:tcPr>
          <w:p>
            <w:r>
              <w:t>Should</w:t>
            </w:r>
          </w:p>
        </w:tc>
        <w:tc>
          <w:tcPr>
            <w:tcW w:type="dxa" w:w="2520"/>
          </w:tcPr>
          <w:p>
            <w:r>
              <w:t>API smoke test</w:t>
            </w:r>
          </w:p>
        </w:tc>
      </w:tr>
      <w:tr>
        <w:tc>
          <w:tcPr>
            <w:tcW w:type="dxa" w:w="2520"/>
          </w:tcPr>
          <w:p>
            <w:r>
              <w:t>FR-14</w:t>
            </w:r>
          </w:p>
        </w:tc>
        <w:tc>
          <w:tcPr>
            <w:tcW w:type="dxa" w:w="2520"/>
          </w:tcPr>
          <w:p>
            <w:r>
              <w:t>Support optional ChromaDB + Sentence Transformers backend.</w:t>
            </w:r>
          </w:p>
        </w:tc>
        <w:tc>
          <w:tcPr>
            <w:tcW w:type="dxa" w:w="2520"/>
          </w:tcPr>
          <w:p>
            <w:r>
              <w:t>Should</w:t>
            </w:r>
          </w:p>
        </w:tc>
        <w:tc>
          <w:tcPr>
            <w:tcW w:type="dxa" w:w="2520"/>
          </w:tcPr>
          <w:p>
            <w:r>
              <w:t>Optional integration test</w:t>
            </w:r>
          </w:p>
        </w:tc>
      </w:tr>
    </w:tbl>
    <w:p>
      <w:pPr>
        <w:pStyle w:val="Heading1"/>
      </w:pPr>
      <w:r>
        <w:t>4. Non-functional requirements</w:t>
      </w:r>
    </w:p>
    <w:p>
      <w:pPr>
        <w:pStyle w:val="ListBullet"/>
      </w:pPr>
      <w:r>
        <w:t>Reliability: one output result per input ticket; failures become escalations rather than silent drops.</w:t>
      </w:r>
    </w:p>
    <w:p>
      <w:pPr>
        <w:pStyle w:val="ListBullet"/>
      </w:pPr>
      <w:r>
        <w:t>Auditability: decisions_logged reconciles with successful log writes.</w:t>
      </w:r>
    </w:p>
    <w:p>
      <w:pPr>
        <w:pStyle w:val="ListBullet"/>
      </w:pPr>
      <w:r>
        <w:t>Safety: evidence insufficiency and policy risk lead to escalation; output PII scanner can block.</w:t>
      </w:r>
    </w:p>
    <w:p>
      <w:pPr>
        <w:pStyle w:val="ListBullet"/>
      </w:pPr>
      <w:r>
        <w:t>Latency: report local processing latency separately from customer first-reply time.</w:t>
      </w:r>
    </w:p>
    <w:p>
      <w:pPr>
        <w:pStyle w:val="ListBullet"/>
      </w:pPr>
      <w:r>
        <w:t>Portability: Python 3.11 recommended, pinned dependencies, offline default, no mandatory API key.</w:t>
      </w:r>
    </w:p>
    <w:p>
      <w:pPr>
        <w:pStyle w:val="ListBullet"/>
      </w:pPr>
      <w:r>
        <w:t>Privacy: do not commit keys or unnecessary customer data; production provider use needs approval.</w:t>
      </w:r>
    </w:p>
    <w:p>
      <w:pPr>
        <w:pStyle w:val="Heading1"/>
      </w:pPr>
      <w:r>
        <w:t>5. Out of scope</w:t>
      </w:r>
    </w:p>
    <w:p>
      <w:pPr>
        <w:pStyle w:val="ListBullet"/>
      </w:pPr>
      <w:r>
        <w:t>Actually sending email or changing customer accounts.</w:t>
      </w:r>
    </w:p>
    <w:p>
      <w:pPr>
        <w:pStyle w:val="ListBullet"/>
      </w:pPr>
      <w:r>
        <w:t>Issuing refunds, deleting data, rotating production credentials, or making compliance commitments.</w:t>
      </w:r>
    </w:p>
    <w:p>
      <w:pPr>
        <w:pStyle w:val="ListBullet"/>
      </w:pPr>
      <w:r>
        <w:t>Claiming first-contact resolution without ticket outcome data.</w:t>
      </w:r>
    </w:p>
    <w:p>
      <w:pPr>
        <w:pStyle w:val="ListBullet"/>
      </w:pPr>
      <w:r>
        <w:t>Production multi-tenant deployment without authentication and security hardening.</w:t>
      </w:r>
    </w:p>
    <w:p>
      <w:pPr>
        <w:pStyle w:val="Heading1"/>
      </w:pPr>
      <w:r>
        <w:t>6. Targets and current baseline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Measure</w:t>
            </w:r>
          </w:p>
        </w:tc>
        <w:tc>
          <w:tcPr>
            <w:tcW w:type="dxa" w:w="3360"/>
          </w:tcPr>
          <w:p>
            <w:r>
              <w:t>Target from framework</w:t>
            </w:r>
          </w:p>
        </w:tc>
        <w:tc>
          <w:tcPr>
            <w:tcW w:type="dxa" w:w="3360"/>
          </w:tcPr>
          <w:p>
            <w:r>
              <w:t>Current evidence / status</w:t>
            </w:r>
          </w:p>
        </w:tc>
      </w:tr>
      <w:tr>
        <w:tc>
          <w:tcPr>
            <w:tcW w:type="dxa" w:w="3360"/>
          </w:tcPr>
          <w:p>
            <w:r>
              <w:t>Automation / escalation</w:t>
            </w:r>
          </w:p>
        </w:tc>
        <w:tc>
          <w:tcPr>
            <w:tcW w:type="dxa" w:w="3360"/>
          </w:tcPr>
          <w:p>
            <w:r>
              <w:t>Escalation ≤30% target</w:t>
            </w:r>
          </w:p>
        </w:tc>
        <w:tc>
          <w:tcPr>
            <w:tcW w:type="dxa" w:w="3360"/>
          </w:tcPr>
          <w:p>
            <w:r>
              <w:t>Validation: 40% auto / 60% escalation; target not met.</w:t>
            </w:r>
          </w:p>
        </w:tc>
      </w:tr>
      <w:tr>
        <w:tc>
          <w:tcPr>
            <w:tcW w:type="dxa" w:w="3360"/>
          </w:tcPr>
          <w:p>
            <w:r>
              <w:t>Auto-response precision</w:t>
            </w:r>
          </w:p>
        </w:tc>
        <w:tc>
          <w:tcPr>
            <w:tcW w:type="dxa" w:w="3360"/>
          </w:tcPr>
          <w:p>
            <w:r>
              <w:t>≥85% target</w:t>
            </w:r>
          </w:p>
        </w:tc>
        <w:tc>
          <w:tcPr>
            <w:tcW w:type="dxa" w:w="3360"/>
          </w:tcPr>
          <w:p>
            <w:r>
              <w:t>Validation threshold sweep: 84.38% at 0.60/0.60; close but below target.</w:t>
            </w:r>
          </w:p>
        </w:tc>
      </w:tr>
      <w:tr>
        <w:tc>
          <w:tcPr>
            <w:tcW w:type="dxa" w:w="3360"/>
          </w:tcPr>
          <w:p>
            <w:r>
              <w:t>Retrieval hit rate</w:t>
            </w:r>
          </w:p>
        </w:tc>
        <w:tc>
          <w:tcPr>
            <w:tcW w:type="dxa" w:w="3360"/>
          </w:tcPr>
          <w:p>
            <w:r>
              <w:t>≥95% citation accuracy target</w:t>
            </w:r>
          </w:p>
        </w:tc>
        <w:tc>
          <w:tcPr>
            <w:tcW w:type="dxa" w:w="3360"/>
          </w:tcPr>
          <w:p>
            <w:r>
              <w:t>Retrieval hit rate 94.34% among 53 labelled answerable cases; not equivalent to claim-level citation accuracy.</w:t>
            </w:r>
          </w:p>
        </w:tc>
      </w:tr>
      <w:tr>
        <w:tc>
          <w:tcPr>
            <w:tcW w:type="dxa" w:w="3360"/>
          </w:tcPr>
          <w:p>
            <w:r>
              <w:t>p95 latency</w:t>
            </w:r>
          </w:p>
        </w:tc>
        <w:tc>
          <w:tcPr>
            <w:tcW w:type="dxa" w:w="3360"/>
          </w:tcPr>
          <w:p>
            <w:r>
              <w:t>&lt;3 seconds</w:t>
            </w:r>
          </w:p>
        </w:tc>
        <w:tc>
          <w:tcPr>
            <w:tcW w:type="dxa" w:w="3360"/>
          </w:tcPr>
          <w:p>
            <w:r>
              <w:t>Offline local p95 13.56 ms; hosted LLM latency not measured in this run.</w:t>
            </w:r>
          </w:p>
        </w:tc>
      </w:tr>
      <w:tr>
        <w:tc>
          <w:tcPr>
            <w:tcW w:type="dxa" w:w="3360"/>
          </w:tcPr>
          <w:p>
            <w:r>
              <w:t>Hallucination rate</w:t>
            </w:r>
          </w:p>
        </w:tc>
        <w:tc>
          <w:tcPr>
            <w:tcW w:type="dxa" w:w="3360"/>
          </w:tcPr>
          <w:p>
            <w:r>
              <w:t>≤5%</w:t>
            </w:r>
          </w:p>
        </w:tc>
        <w:tc>
          <w:tcPr>
            <w:tcW w:type="dxa" w:w="3360"/>
          </w:tcPr>
          <w:p>
            <w:r>
              <w:t>Not established; requires two-reviewer claim-level audit of ≥50 responses.</w:t>
            </w:r>
          </w:p>
        </w:tc>
      </w:tr>
      <w:tr>
        <w:tc>
          <w:tcPr>
            <w:tcW w:type="dxa" w:w="3360"/>
          </w:tcPr>
          <w:p>
            <w:r>
              <w:t>CSAT/FCR</w:t>
            </w:r>
          </w:p>
        </w:tc>
        <w:tc>
          <w:tcPr>
            <w:tcW w:type="dxa" w:w="3360"/>
          </w:tcPr>
          <w:p>
            <w:r>
              <w:t>FCR ≥60%, CSAT ≥4/5</w:t>
            </w:r>
          </w:p>
        </w:tc>
        <w:tc>
          <w:tcPr>
            <w:tcW w:type="dxa" w:w="3360"/>
          </w:tcPr>
          <w:p>
            <w:r>
              <w:t>Historical validation fields: FCR 46.25%, CSAT 2.60/5; not caused by this pipeline.</w:t>
            </w:r>
          </w:p>
        </w:tc>
      </w:tr>
    </w:tbl>
    <w:p>
      <w:pPr>
        <w:pStyle w:val="Heading1"/>
      </w:pPr>
      <w:r>
        <w:t>7. Assumptions to validate</w:t>
      </w:r>
    </w:p>
    <w:p>
      <w:pPr>
        <w:pStyle w:val="ListBullet"/>
      </w:pPr>
      <w:r>
        <w:t>The provided 29 articles are the authoritative capstone corpus.</w:t>
      </w:r>
    </w:p>
    <w:p>
      <w:pPr>
        <w:pStyle w:val="ListBullet"/>
      </w:pPr>
      <w:r>
        <w:t>Validation labels are reliable enough to guide thresholds but not to establish real-world performance.</w:t>
      </w:r>
    </w:p>
    <w:p>
      <w:pPr>
        <w:pStyle w:val="ListBullet"/>
      </w:pPr>
      <w:r>
        <w:t>Hidden evaluation runs in a clean environment and may not have network access.</w:t>
      </w:r>
    </w:p>
    <w:p>
      <w:pPr>
        <w:pStyle w:val="ListBullet"/>
      </w:pPr>
      <w:r>
        <w:t>Customer text sent to a hosted model requires separate privacy approval.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