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CLOUDSERVE SOLUTIONS</w:t>
      </w:r>
    </w:p>
    <w:p>
      <w:pPr>
        <w:pStyle w:val="Title"/>
      </w:pPr>
      <w:r>
        <w:t>Stage Four: Sprint Plan</w:t>
      </w:r>
    </w:p>
    <w:p>
      <w:pPr>
        <w:jc w:val="center"/>
      </w:pPr>
      <w:r>
        <w:t>Sequencing, estimates, definitions of done and cut order</w:t>
      </w:r>
    </w:p>
    <w:p>
      <w:r>
        <w:t>Draft prepared from the supplied capstone pack and current implementation. Review and personalize before submission.</w:t>
      </w:r>
    </w:p>
    <w:p>
      <w:r>
        <w:t>Project evidence date: 23 October 2026</w:t>
      </w:r>
    </w:p>
    <w:p>
      <w:r>
        <w:t>Estimates below are planning estimates, not claimed actual hours. Enter actual hours in the supplied effort log as work occurs.</w:t>
      </w:r>
    </w:p>
    <w:p>
      <w:pPr>
        <w:pStyle w:val="Heading1"/>
      </w:pPr>
      <w:r>
        <w:t>1. Capacity and sequencing assumptions</w:t>
      </w:r>
    </w:p>
    <w:p>
      <w:pPr>
        <w:pStyle w:val="ListBullet"/>
      </w:pPr>
      <w:r>
        <w:t>Single engineer, three-week capstone; prioritize the unattended CLI gate before optional infrastructure.</w:t>
      </w:r>
    </w:p>
    <w:p>
      <w:pPr>
        <w:pStyle w:val="ListBullet"/>
      </w:pPr>
      <w:r>
        <w:t>The evaluation harness, retrieval and failure isolation are early dependencies.</w:t>
      </w:r>
    </w:p>
    <w:p>
      <w:pPr>
        <w:pStyle w:val="ListBullet"/>
      </w:pPr>
      <w:r>
        <w:t>The optional hosted LLM and Chroma backend must not be required for offline gate execution.</w:t>
      </w:r>
    </w:p>
    <w:p>
      <w:pPr>
        <w:pStyle w:val="ListBullet"/>
      </w:pPr>
      <w:r>
        <w:t>Human review, final report and video require actual student completion; no fake reviewer data or effort hours will be entered.</w:t>
      </w:r>
    </w:p>
    <w:p>
      <w:pPr>
        <w:pStyle w:val="Heading1"/>
      </w:pPr>
      <w:r>
        <w:t>2. Backlog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ID</w:t>
            </w:r>
          </w:p>
        </w:tc>
        <w:tc>
          <w:tcPr>
            <w:tcW w:type="dxa" w:w="1680"/>
          </w:tcPr>
          <w:p>
            <w:r>
              <w:t>Work item</w:t>
            </w:r>
          </w:p>
        </w:tc>
        <w:tc>
          <w:tcPr>
            <w:tcW w:type="dxa" w:w="1680"/>
          </w:tcPr>
          <w:p>
            <w:r>
              <w:t>Estimate</w:t>
            </w:r>
          </w:p>
        </w:tc>
        <w:tc>
          <w:tcPr>
            <w:tcW w:type="dxa" w:w="1680"/>
          </w:tcPr>
          <w:p>
            <w:r>
              <w:t>Priority</w:t>
            </w:r>
          </w:p>
        </w:tc>
        <w:tc>
          <w:tcPr>
            <w:tcW w:type="dxa" w:w="1680"/>
          </w:tcPr>
          <w:p>
            <w:r>
              <w:t>Depends on</w:t>
            </w:r>
          </w:p>
        </w:tc>
        <w:tc>
          <w:tcPr>
            <w:tcW w:type="dxa" w:w="1680"/>
          </w:tcPr>
          <w:p>
            <w:r>
              <w:t>Definition of done</w:t>
            </w:r>
          </w:p>
        </w:tc>
      </w:tr>
      <w:tr>
        <w:tc>
          <w:tcPr>
            <w:tcW w:type="dxa" w:w="1680"/>
          </w:tcPr>
          <w:p>
            <w:r>
              <w:t>B-01</w:t>
            </w:r>
          </w:p>
        </w:tc>
        <w:tc>
          <w:tcPr>
            <w:tcW w:type="dxa" w:w="1680"/>
          </w:tcPr>
          <w:p>
            <w:r>
              <w:t>Inspect requirements/data and pin environment</w:t>
            </w:r>
          </w:p>
        </w:tc>
        <w:tc>
          <w:tcPr>
            <w:tcW w:type="dxa" w:w="1680"/>
          </w:tcPr>
          <w:p>
            <w:r>
              <w:t>4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Schema, acceptance matrix and setup commands documented.</w:t>
            </w:r>
          </w:p>
        </w:tc>
      </w:tr>
      <w:tr>
        <w:tc>
          <w:tcPr>
            <w:tcW w:type="dxa" w:w="1680"/>
          </w:tcPr>
          <w:p>
            <w:r>
              <w:t>B-02</w:t>
            </w:r>
          </w:p>
        </w:tc>
        <w:tc>
          <w:tcPr>
            <w:tcW w:type="dxa" w:w="1680"/>
          </w:tcPr>
          <w:p>
            <w:r>
              <w:t>Normalize channels and output contract</w:t>
            </w:r>
          </w:p>
        </w:tc>
        <w:tc>
          <w:tcPr>
            <w:tcW w:type="dxa" w:w="1680"/>
          </w:tcPr>
          <w:p>
            <w:r>
              <w:t>3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B-01</w:t>
            </w:r>
          </w:p>
        </w:tc>
        <w:tc>
          <w:tcPr>
            <w:tcW w:type="dxa" w:w="1680"/>
          </w:tcPr>
          <w:p>
            <w:r>
              <w:t>All four channels and malformed records covered by tests.</w:t>
            </w:r>
          </w:p>
        </w:tc>
      </w:tr>
      <w:tr>
        <w:tc>
          <w:tcPr>
            <w:tcW w:type="dxa" w:w="1680"/>
          </w:tcPr>
          <w:p>
            <w:r>
              <w:t>B-03</w:t>
            </w:r>
          </w:p>
        </w:tc>
        <w:tc>
          <w:tcPr>
            <w:tcW w:type="dxa" w:w="1680"/>
          </w:tcPr>
          <w:p>
            <w:r>
              <w:t>Build labelled classifier and calibration</w:t>
            </w:r>
          </w:p>
        </w:tc>
        <w:tc>
          <w:tcPr>
            <w:tcW w:type="dxa" w:w="1680"/>
          </w:tcPr>
          <w:p>
            <w:r>
              <w:t>5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B-02</w:t>
            </w:r>
          </w:p>
        </w:tc>
        <w:tc>
          <w:tcPr>
            <w:tcW w:type="dxa" w:w="1680"/>
          </w:tcPr>
          <w:p>
            <w:r>
              <w:t>Intent/urgency/route/answerability scores and alternatives emitted.</w:t>
            </w:r>
          </w:p>
        </w:tc>
      </w:tr>
      <w:tr>
        <w:tc>
          <w:tcPr>
            <w:tcW w:type="dxa" w:w="1680"/>
          </w:tcPr>
          <w:p>
            <w:r>
              <w:t>B-04</w:t>
            </w:r>
          </w:p>
        </w:tc>
        <w:tc>
          <w:tcPr>
            <w:tcW w:type="dxa" w:w="1680"/>
          </w:tcPr>
          <w:p>
            <w:r>
              <w:t>Ingest docs and implement retrieval</w:t>
            </w:r>
          </w:p>
        </w:tc>
        <w:tc>
          <w:tcPr>
            <w:tcW w:type="dxa" w:w="1680"/>
          </w:tcPr>
          <w:p>
            <w:r>
              <w:t>5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B-02</w:t>
            </w:r>
          </w:p>
        </w:tc>
        <w:tc>
          <w:tcPr>
            <w:tcW w:type="dxa" w:w="1680"/>
          </w:tcPr>
          <w:p>
            <w:r>
              <w:t>Stable passage IDs and text; hit-rate metric produced.</w:t>
            </w:r>
          </w:p>
        </w:tc>
      </w:tr>
      <w:tr>
        <w:tc>
          <w:tcPr>
            <w:tcW w:type="dxa" w:w="1680"/>
          </w:tcPr>
          <w:p>
            <w:r>
              <w:t>B-05</w:t>
            </w:r>
          </w:p>
        </w:tc>
        <w:tc>
          <w:tcPr>
            <w:tcW w:type="dxa" w:w="1680"/>
          </w:tcPr>
          <w:p>
            <w:r>
              <w:t>CLI/harness and metrics</w:t>
            </w:r>
          </w:p>
        </w:tc>
        <w:tc>
          <w:tcPr>
            <w:tcW w:type="dxa" w:w="1680"/>
          </w:tcPr>
          <w:p>
            <w:r>
              <w:t>4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B-02</w:t>
            </w:r>
          </w:p>
        </w:tc>
        <w:tc>
          <w:tcPr>
            <w:tcW w:type="dxa" w:w="1680"/>
          </w:tcPr>
          <w:p>
            <w:r>
              <w:t>Arbitrary input path processes full batch unattended.</w:t>
            </w:r>
          </w:p>
        </w:tc>
      </w:tr>
      <w:tr>
        <w:tc>
          <w:tcPr>
            <w:tcW w:type="dxa" w:w="1680"/>
          </w:tcPr>
          <w:p>
            <w:r>
              <w:t>B-06</w:t>
            </w:r>
          </w:p>
        </w:tc>
        <w:tc>
          <w:tcPr>
            <w:tcW w:type="dxa" w:w="1680"/>
          </w:tcPr>
          <w:p>
            <w:r>
              <w:t>Routing and safety overrides</w:t>
            </w:r>
          </w:p>
        </w:tc>
        <w:tc>
          <w:tcPr>
            <w:tcW w:type="dxa" w:w="1680"/>
          </w:tcPr>
          <w:p>
            <w:r>
              <w:t>4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B-03/B-04</w:t>
            </w:r>
          </w:p>
        </w:tc>
        <w:tc>
          <w:tcPr>
            <w:tcW w:type="dxa" w:w="1680"/>
          </w:tcPr>
          <w:p>
            <w:r>
              <w:t>Deterministic thresholds and mandatory review rules tested.</w:t>
            </w:r>
          </w:p>
        </w:tc>
      </w:tr>
      <w:tr>
        <w:tc>
          <w:tcPr>
            <w:tcW w:type="dxa" w:w="1680"/>
          </w:tcPr>
          <w:p>
            <w:r>
              <w:t>B-07</w:t>
            </w:r>
          </w:p>
        </w:tc>
        <w:tc>
          <w:tcPr>
            <w:tcW w:type="dxa" w:w="1680"/>
          </w:tcPr>
          <w:p>
            <w:r>
              <w:t>Response generation and validation</w:t>
            </w:r>
          </w:p>
        </w:tc>
        <w:tc>
          <w:tcPr>
            <w:tcW w:type="dxa" w:w="1680"/>
          </w:tcPr>
          <w:p>
            <w:r>
              <w:t>5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B-04/B-06</w:t>
            </w:r>
          </w:p>
        </w:tc>
        <w:tc>
          <w:tcPr>
            <w:tcW w:type="dxa" w:w="1680"/>
          </w:tcPr>
          <w:p>
            <w:r>
              <w:t>Evidence template and optional OpenRouter; guardrails can block.</w:t>
            </w:r>
          </w:p>
        </w:tc>
      </w:tr>
      <w:tr>
        <w:tc>
          <w:tcPr>
            <w:tcW w:type="dxa" w:w="1680"/>
          </w:tcPr>
          <w:p>
            <w:r>
              <w:t>B-08</w:t>
            </w:r>
          </w:p>
        </w:tc>
        <w:tc>
          <w:tcPr>
            <w:tcW w:type="dxa" w:w="1680"/>
          </w:tcPr>
          <w:p>
            <w:r>
              <w:t>SQLite audit log</w:t>
            </w:r>
          </w:p>
        </w:tc>
        <w:tc>
          <w:tcPr>
            <w:tcW w:type="dxa" w:w="1680"/>
          </w:tcPr>
          <w:p>
            <w:r>
              <w:t>2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B-05/B-06</w:t>
            </w:r>
          </w:p>
        </w:tc>
        <w:tc>
          <w:tcPr>
            <w:tcW w:type="dxa" w:w="1680"/>
          </w:tcPr>
          <w:p>
            <w:r>
              <w:t>Logged count reconciles with output.</w:t>
            </w:r>
          </w:p>
        </w:tc>
      </w:tr>
      <w:tr>
        <w:tc>
          <w:tcPr>
            <w:tcW w:type="dxa" w:w="1680"/>
          </w:tcPr>
          <w:p>
            <w:r>
              <w:t>B-09</w:t>
            </w:r>
          </w:p>
        </w:tc>
        <w:tc>
          <w:tcPr>
            <w:tcW w:type="dxa" w:w="1680"/>
          </w:tcPr>
          <w:p>
            <w:r>
              <w:t>Validation threshold analysis</w:t>
            </w:r>
          </w:p>
        </w:tc>
        <w:tc>
          <w:tcPr>
            <w:tcW w:type="dxa" w:w="1680"/>
          </w:tcPr>
          <w:p>
            <w:r>
              <w:t>5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B-03–B-07</w:t>
            </w:r>
          </w:p>
        </w:tc>
        <w:tc>
          <w:tcPr>
            <w:tcW w:type="dxa" w:w="1680"/>
          </w:tcPr>
          <w:p>
            <w:r>
              <w:t>Threshold sweep, metrics and limitations documented.</w:t>
            </w:r>
          </w:p>
        </w:tc>
      </w:tr>
      <w:tr>
        <w:tc>
          <w:tcPr>
            <w:tcW w:type="dxa" w:w="1680"/>
          </w:tcPr>
          <w:p>
            <w:r>
              <w:t>B-10</w:t>
            </w:r>
          </w:p>
        </w:tc>
        <w:tc>
          <w:tcPr>
            <w:tcW w:type="dxa" w:w="1680"/>
          </w:tcPr>
          <w:p>
            <w:r>
              <w:t>FastAPI and Prometheus</w:t>
            </w:r>
          </w:p>
        </w:tc>
        <w:tc>
          <w:tcPr>
            <w:tcW w:type="dxa" w:w="1680"/>
          </w:tcPr>
          <w:p>
            <w:r>
              <w:t>3 h</w:t>
            </w:r>
          </w:p>
        </w:tc>
        <w:tc>
          <w:tcPr>
            <w:tcW w:type="dxa" w:w="1680"/>
          </w:tcPr>
          <w:p>
            <w:r>
              <w:t>P1</w:t>
            </w:r>
          </w:p>
        </w:tc>
        <w:tc>
          <w:tcPr>
            <w:tcW w:type="dxa" w:w="1680"/>
          </w:tcPr>
          <w:p>
            <w:r>
              <w:t>B-07/B-08</w:t>
            </w:r>
          </w:p>
        </w:tc>
        <w:tc>
          <w:tcPr>
            <w:tcW w:type="dxa" w:w="1680"/>
          </w:tcPr>
          <w:p>
            <w:r>
              <w:t>Health, processing and metrics endpoints smoke-tested.</w:t>
            </w:r>
          </w:p>
        </w:tc>
      </w:tr>
      <w:tr>
        <w:tc>
          <w:tcPr>
            <w:tcW w:type="dxa" w:w="1680"/>
          </w:tcPr>
          <w:p>
            <w:r>
              <w:t>B-11</w:t>
            </w:r>
          </w:p>
        </w:tc>
        <w:tc>
          <w:tcPr>
            <w:tcW w:type="dxa" w:w="1680"/>
          </w:tcPr>
          <w:p>
            <w:r>
              <w:t>CI and fault-injection tests</w:t>
            </w:r>
          </w:p>
        </w:tc>
        <w:tc>
          <w:tcPr>
            <w:tcW w:type="dxa" w:w="1680"/>
          </w:tcPr>
          <w:p>
            <w:r>
              <w:t>4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B-01–B-10</w:t>
            </w:r>
          </w:p>
        </w:tc>
        <w:tc>
          <w:tcPr>
            <w:tcW w:type="dxa" w:w="1680"/>
          </w:tcPr>
          <w:p>
            <w:r>
              <w:t>Single documented test command passes; outage fallback covered.</w:t>
            </w:r>
          </w:p>
        </w:tc>
      </w:tr>
      <w:tr>
        <w:tc>
          <w:tcPr>
            <w:tcW w:type="dxa" w:w="1680"/>
          </w:tcPr>
          <w:p>
            <w:r>
              <w:t>B-12</w:t>
            </w:r>
          </w:p>
        </w:tc>
        <w:tc>
          <w:tcPr>
            <w:tcW w:type="dxa" w:w="1680"/>
          </w:tcPr>
          <w:p>
            <w:r>
              <w:t>Clean-copy rehearsal and packaging</w:t>
            </w:r>
          </w:p>
        </w:tc>
        <w:tc>
          <w:tcPr>
            <w:tcW w:type="dxa" w:w="1680"/>
          </w:tcPr>
          <w:p>
            <w:r>
              <w:t>3 h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B-11</w:t>
            </w:r>
          </w:p>
        </w:tc>
        <w:tc>
          <w:tcPr>
            <w:tcW w:type="dxa" w:w="1680"/>
          </w:tcPr>
          <w:p>
            <w:r>
              <w:t>README reproduced in fresh directory; ZIP inspected.</w:t>
            </w:r>
          </w:p>
        </w:tc>
      </w:tr>
      <w:tr>
        <w:tc>
          <w:tcPr>
            <w:tcW w:type="dxa" w:w="1680"/>
          </w:tcPr>
          <w:p>
            <w:r>
              <w:t>B-13</w:t>
            </w:r>
          </w:p>
        </w:tc>
        <w:tc>
          <w:tcPr>
            <w:tcW w:type="dxa" w:w="1680"/>
          </w:tcPr>
          <w:p>
            <w:r>
              <w:t>Human review, report and video</w:t>
            </w:r>
          </w:p>
        </w:tc>
        <w:tc>
          <w:tcPr>
            <w:tcW w:type="dxa" w:w="1680"/>
          </w:tcPr>
          <w:p>
            <w:r>
              <w:t>Student estimate</w:t>
            </w:r>
          </w:p>
        </w:tc>
        <w:tc>
          <w:tcPr>
            <w:tcW w:type="dxa" w:w="1680"/>
          </w:tcPr>
          <w:p>
            <w:r>
              <w:t>P0</w:t>
            </w:r>
          </w:p>
        </w:tc>
        <w:tc>
          <w:tcPr>
            <w:tcW w:type="dxa" w:w="1680"/>
          </w:tcPr>
          <w:p>
            <w:r>
              <w:t>B-09–B-12</w:t>
            </w:r>
          </w:p>
        </w:tc>
        <w:tc>
          <w:tcPr>
            <w:tcW w:type="dxa" w:w="1680"/>
          </w:tcPr>
          <w:p>
            <w:r>
              <w:t>Two-reviewer audit, report and demo recorded honestly.</w:t>
            </w:r>
          </w:p>
        </w:tc>
      </w:tr>
    </w:tbl>
    <w:p>
      <w:pPr>
        <w:pStyle w:val="Heading1"/>
      </w:pPr>
      <w:r>
        <w:t>3. Daily checkpoints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Checkpoint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  <w:tc>
          <w:tcPr>
            <w:tcW w:type="dxa" w:w="3360"/>
          </w:tcPr>
          <w:p>
            <w:r>
              <w:t>Status in current package</w:t>
            </w:r>
          </w:p>
        </w:tc>
      </w:tr>
      <w:tr>
        <w:tc>
          <w:tcPr>
            <w:tcW w:type="dxa" w:w="3360"/>
          </w:tcPr>
          <w:p>
            <w:r>
              <w:t>Day 1</w:t>
            </w:r>
          </w:p>
        </w:tc>
        <w:tc>
          <w:tcPr>
            <w:tcW w:type="dxa" w:w="3360"/>
          </w:tcPr>
          <w:p>
            <w:r>
              <w:t>Four-channel ingestion</w:t>
            </w:r>
          </w:p>
        </w:tc>
        <w:tc>
          <w:tcPr>
            <w:tcW w:type="dxa" w:w="3360"/>
          </w:tcPr>
          <w:p>
            <w:r>
              <w:t>Implemented and tested.</w:t>
            </w:r>
          </w:p>
        </w:tc>
      </w:tr>
      <w:tr>
        <w:tc>
          <w:tcPr>
            <w:tcW w:type="dxa" w:w="3360"/>
          </w:tcPr>
          <w:p>
            <w:r>
              <w:t>Day 2</w:t>
            </w:r>
          </w:p>
        </w:tc>
        <w:tc>
          <w:tcPr>
            <w:tcW w:type="dxa" w:w="3360"/>
          </w:tcPr>
          <w:p>
            <w:r>
              <w:t>Traceable retrieval</w:t>
            </w:r>
          </w:p>
        </w:tc>
        <w:tc>
          <w:tcPr>
            <w:tcW w:type="dxa" w:w="3360"/>
          </w:tcPr>
          <w:p>
            <w:r>
              <w:t>Implemented; lexical TF-IDF default, Chroma optional.</w:t>
            </w:r>
          </w:p>
        </w:tc>
      </w:tr>
      <w:tr>
        <w:tc>
          <w:tcPr>
            <w:tcW w:type="dxa" w:w="3360"/>
          </w:tcPr>
          <w:p>
            <w:r>
              <w:t>Day 3</w:t>
            </w:r>
          </w:p>
        </w:tc>
        <w:tc>
          <w:tcPr>
            <w:tcW w:type="dxa" w:w="3360"/>
          </w:tcPr>
          <w:p>
            <w:r>
              <w:t>Classification/routing/logging</w:t>
            </w:r>
          </w:p>
        </w:tc>
        <w:tc>
          <w:tcPr>
            <w:tcW w:type="dxa" w:w="3360"/>
          </w:tcPr>
          <w:p>
            <w:r>
              <w:t>Implemented; calibrated model and policy gates.</w:t>
            </w:r>
          </w:p>
        </w:tc>
      </w:tr>
      <w:tr>
        <w:tc>
          <w:tcPr>
            <w:tcW w:type="dxa" w:w="3360"/>
          </w:tcPr>
          <w:p>
            <w:r>
              <w:t>Day 4</w:t>
            </w:r>
          </w:p>
        </w:tc>
        <w:tc>
          <w:tcPr>
            <w:tcW w:type="dxa" w:w="3360"/>
          </w:tcPr>
          <w:p>
            <w:r>
              <w:t>Generation and guardrails</w:t>
            </w:r>
          </w:p>
        </w:tc>
        <w:tc>
          <w:tcPr>
            <w:tcW w:type="dxa" w:w="3360"/>
          </w:tcPr>
          <w:p>
            <w:r>
              <w:t>Implemented; tests cover prompt injection, PII and provider outage.</w:t>
            </w:r>
          </w:p>
        </w:tc>
      </w:tr>
      <w:tr>
        <w:tc>
          <w:tcPr>
            <w:tcW w:type="dxa" w:w="3360"/>
          </w:tcPr>
          <w:p>
            <w:r>
              <w:t>Day 5</w:t>
            </w:r>
          </w:p>
        </w:tc>
        <w:tc>
          <w:tcPr>
            <w:tcW w:type="dxa" w:w="3360"/>
          </w:tcPr>
          <w:p>
            <w:r>
              <w:t>Full unattended validation</w:t>
            </w:r>
          </w:p>
        </w:tc>
        <w:tc>
          <w:tcPr>
            <w:tcW w:type="dxa" w:w="3360"/>
          </w:tcPr>
          <w:p>
            <w:r>
              <w:t>80/80 records processed and logged in local validation run.</w:t>
            </w:r>
          </w:p>
        </w:tc>
      </w:tr>
      <w:tr>
        <w:tc>
          <w:tcPr>
            <w:tcW w:type="dxa" w:w="3360"/>
          </w:tcPr>
          <w:p>
            <w:r>
              <w:t>Week 3</w:t>
            </w:r>
          </w:p>
        </w:tc>
        <w:tc>
          <w:tcPr>
            <w:tcW w:type="dxa" w:w="3360"/>
          </w:tcPr>
          <w:p>
            <w:r>
              <w:t>Monitoring, CI, governance and communication</w:t>
            </w:r>
          </w:p>
        </w:tc>
        <w:tc>
          <w:tcPr>
            <w:tcW w:type="dxa" w:w="3360"/>
          </w:tcPr>
          <w:p>
            <w:r>
              <w:t>Core files provided; clean-copy test and human review still required by the student.</w:t>
            </w:r>
          </w:p>
        </w:tc>
      </w:tr>
    </w:tbl>
    <w:p>
      <w:pPr>
        <w:pStyle w:val="Heading1"/>
      </w:pPr>
      <w:r>
        <w:t>4. Cut order</w:t>
      </w:r>
    </w:p>
    <w:p>
      <w:pPr>
        <w:pStyle w:val="ListBullet"/>
      </w:pPr>
      <w:r>
        <w:t>First defer dashboard polish, not Prometheus metrics.</w:t>
      </w:r>
    </w:p>
    <w:p>
      <w:pPr>
        <w:pStyle w:val="ListBullet"/>
      </w:pPr>
      <w:r>
        <w:t>Second defer Chroma embeddings comparison, not the deterministic retriever.</w:t>
      </w:r>
    </w:p>
    <w:p>
      <w:pPr>
        <w:pStyle w:val="ListBullet"/>
      </w:pPr>
      <w:r>
        <w:t>Third defer non-essential API features, not CLI/harness reliability.</w:t>
      </w:r>
    </w:p>
    <w:p>
      <w:pPr>
        <w:pStyle w:val="ListBullet"/>
      </w:pPr>
      <w:r>
        <w:t>Never remove safety gates merely to raise automation rate.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