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CLOUDSERVE SOLUTIONS</w:t>
      </w:r>
    </w:p>
    <w:p>
      <w:pPr>
        <w:pStyle w:val="Title"/>
      </w:pPr>
      <w:r>
        <w:t>Stage Five: PRD Revision Log</w:t>
      </w:r>
    </w:p>
    <w:p>
      <w:pPr>
        <w:jc w:val="center"/>
      </w:pPr>
      <w:r>
        <w:t>Evidence-driven changes during implementation</w:t>
      </w:r>
    </w:p>
    <w:p>
      <w:r>
        <w:t>Draft prepared from the supplied capstone pack and current implementation. Review and personalize before submission.</w:t>
      </w:r>
    </w:p>
    <w:p>
      <w:r>
        <w:t>Project evidence date: 23 October 2026</w:t>
      </w:r>
    </w:p>
    <w:p>
      <w:r>
        <w:t>Revision evidence date: 23 October 2026. Review and personalize before submission.</w:t>
      </w:r>
    </w:p>
    <w:p>
      <w:pPr>
        <w:pStyle w:val="Heading1"/>
      </w:pPr>
      <w:r>
        <w:t>1. Revision summary</w:t>
      </w:r>
    </w:p>
    <w:p>
      <w:r>
        <w:t>The initial assumption was that a route-confidence threshold and the presence of a retrieved document would be enough. The first run showed that relevant-looking passages may not answer the ticket. The implementation therefore added a supervised documentation-answerability classifier, sigmoid calibration, explicit policy overrides, passage text in output, and a validation-only threshold sweep.</w:t>
      </w:r>
    </w:p>
    <w:p>
      <w:pPr>
        <w:pStyle w:val="Heading1"/>
      </w:pPr>
      <w:r>
        <w:t>2. Changes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Requirement</w:t>
            </w:r>
          </w:p>
        </w:tc>
        <w:tc>
          <w:tcPr>
            <w:tcW w:type="dxa" w:w="2520"/>
          </w:tcPr>
          <w:p>
            <w:r>
              <w:t>Before</w:t>
            </w:r>
          </w:p>
        </w:tc>
        <w:tc>
          <w:tcPr>
            <w:tcW w:type="dxa" w:w="2520"/>
          </w:tcPr>
          <w:p>
            <w:r>
              <w:t>After</w:t>
            </w:r>
          </w:p>
        </w:tc>
        <w:tc>
          <w:tcPr>
            <w:tcW w:type="dxa" w:w="2520"/>
          </w:tcPr>
          <w:p>
            <w:r>
              <w:t>Trigger/evidence</w:t>
            </w:r>
          </w:p>
        </w:tc>
      </w:tr>
      <w:tr>
        <w:tc>
          <w:tcPr>
            <w:tcW w:type="dxa" w:w="2520"/>
          </w:tcPr>
          <w:p>
            <w:r>
              <w:t>FR-03 retrieval</w:t>
            </w:r>
          </w:p>
        </w:tc>
        <w:tc>
          <w:tcPr>
            <w:tcW w:type="dxa" w:w="2520"/>
          </w:tcPr>
          <w:p>
            <w:r>
              <w:t>Return source IDs for top passages.</w:t>
            </w:r>
          </w:p>
        </w:tc>
        <w:tc>
          <w:tcPr>
            <w:tcW w:type="dxa" w:w="2520"/>
          </w:tcPr>
          <w:p>
            <w:r>
              <w:t>Return stable document and passage IDs, score and passage text.</w:t>
            </w:r>
          </w:p>
        </w:tc>
        <w:tc>
          <w:tcPr>
            <w:tcW w:type="dxa" w:w="2520"/>
          </w:tcPr>
          <w:p>
            <w:r>
              <w:t>Assessors must be able to verify citations against actual retrieved text.</w:t>
            </w:r>
          </w:p>
        </w:tc>
      </w:tr>
      <w:tr>
        <w:tc>
          <w:tcPr>
            <w:tcW w:type="dxa" w:w="2520"/>
          </w:tcPr>
          <w:p>
            <w:r>
              <w:t>FR-04 routing</w:t>
            </w:r>
          </w:p>
        </w:tc>
        <w:tc>
          <w:tcPr>
            <w:tcW w:type="dxa" w:w="2520"/>
          </w:tcPr>
          <w:p>
            <w:r>
              <w:t>Fixed route confidence threshold only.</w:t>
            </w:r>
          </w:p>
        </w:tc>
        <w:tc>
          <w:tcPr>
            <w:tcW w:type="dxa" w:w="2520"/>
          </w:tcPr>
          <w:p>
            <w:r>
              <w:t>Route confidence + documentation-answerability threshold + deterministic high-risk overrides.</w:t>
            </w:r>
          </w:p>
        </w:tc>
        <w:tc>
          <w:tcPr>
            <w:tcW w:type="dxa" w:w="2520"/>
          </w:tcPr>
          <w:p>
            <w:r>
              <w:t>0.80 route threshold auto-responded to only 7/80 validation tickets; threshold sweep showed measurable trade-off.</w:t>
            </w:r>
          </w:p>
        </w:tc>
      </w:tr>
      <w:tr>
        <w:tc>
          <w:tcPr>
            <w:tcW w:type="dxa" w:w="2520"/>
          </w:tcPr>
          <w:p>
            <w:r>
              <w:t>FR-05 generation</w:t>
            </w:r>
          </w:p>
        </w:tc>
        <w:tc>
          <w:tcPr>
            <w:tcW w:type="dxa" w:w="2520"/>
          </w:tcPr>
          <w:p>
            <w:r>
              <w:t>Citation existence treated as a basic check.</w:t>
            </w:r>
          </w:p>
        </w:tc>
        <w:tc>
          <w:tcPr>
            <w:tcW w:type="dxa" w:w="2520"/>
          </w:tcPr>
          <w:p>
            <w:r>
              <w:t>Citation IDs must resolve to retrieved docs; outbound PII and prompt injection can block; human claim audit still required.</w:t>
            </w:r>
          </w:p>
        </w:tc>
        <w:tc>
          <w:tcPr>
            <w:tcW w:type="dxa" w:w="2520"/>
          </w:tcPr>
          <w:p>
            <w:r>
              <w:t>Source-ID validity is not semantic entailment.</w:t>
            </w:r>
          </w:p>
        </w:tc>
      </w:tr>
      <w:tr>
        <w:tc>
          <w:tcPr>
            <w:tcW w:type="dxa" w:w="2520"/>
          </w:tcPr>
          <w:p>
            <w:r>
              <w:t>FR-07 escalation</w:t>
            </w:r>
          </w:p>
        </w:tc>
        <w:tc>
          <w:tcPr>
            <w:tcW w:type="dxa" w:w="2520"/>
          </w:tcPr>
          <w:p>
            <w:r>
              <w:t>Return a generic escalation.</w:t>
            </w:r>
          </w:p>
        </w:tc>
        <w:tc>
          <w:tcPr>
            <w:tcW w:type="dxa" w:w="2520"/>
          </w:tcPr>
          <w:p>
            <w:r>
              <w:t>Attach plain-language reason, summary and retrieved source references.</w:t>
            </w:r>
          </w:p>
        </w:tc>
        <w:tc>
          <w:tcPr>
            <w:tcW w:type="dxa" w:w="2520"/>
          </w:tcPr>
          <w:p>
            <w:r>
              <w:t>Tier Two transcript says escalations often lack context and repeat questions.</w:t>
            </w:r>
          </w:p>
        </w:tc>
      </w:tr>
      <w:tr>
        <w:tc>
          <w:tcPr>
            <w:tcW w:type="dxa" w:w="2520"/>
          </w:tcPr>
          <w:p>
            <w:r>
              <w:t>FR-09 outage handling</w:t>
            </w:r>
          </w:p>
        </w:tc>
        <w:tc>
          <w:tcPr>
            <w:tcW w:type="dxa" w:w="2520"/>
          </w:tcPr>
          <w:p>
            <w:r>
              <w:t>Provider expected to be available.</w:t>
            </w:r>
          </w:p>
        </w:tc>
        <w:tc>
          <w:tcPr>
            <w:tcW w:type="dxa" w:w="2520"/>
          </w:tcPr>
          <w:p>
            <w:r>
              <w:t>OpenRouter is optional; timeout/outage falls back to evidence template; per-ticket failures become escalations.</w:t>
            </w:r>
          </w:p>
        </w:tc>
        <w:tc>
          <w:tcPr>
            <w:tcW w:type="dxa" w:w="2520"/>
          </w:tcPr>
          <w:p>
            <w:r>
              <w:t>Free-tier limits and hidden evaluation network conditions are uncertain.</w:t>
            </w:r>
          </w:p>
        </w:tc>
      </w:tr>
      <w:tr>
        <w:tc>
          <w:tcPr>
            <w:tcW w:type="dxa" w:w="2520"/>
          </w:tcPr>
          <w:p>
            <w:r>
              <w:t>Outcome metrics</w:t>
            </w:r>
          </w:p>
        </w:tc>
        <w:tc>
          <w:tcPr>
            <w:tcW w:type="dxa" w:w="2520"/>
          </w:tcPr>
          <w:p>
            <w:r>
              <w:t>Automation used as resolution proxy.</w:t>
            </w:r>
          </w:p>
        </w:tc>
        <w:tc>
          <w:tcPr>
            <w:tcW w:type="dxa" w:w="2520"/>
          </w:tcPr>
          <w:p>
            <w:r>
              <w:t>Report automation separately from historical FCR, resolution time and CSAT.</w:t>
            </w:r>
          </w:p>
        </w:tc>
        <w:tc>
          <w:tcPr>
            <w:tcW w:type="dxa" w:w="2520"/>
          </w:tcPr>
          <w:p>
            <w:r>
              <w:t>A returned answer is not proof of resolution.</w:t>
            </w:r>
          </w:p>
        </w:tc>
      </w:tr>
    </w:tbl>
    <w:p>
      <w:pPr>
        <w:pStyle w:val="Heading1"/>
      </w:pPr>
      <w:r>
        <w:t>3. Measured validation result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Metric</w:t>
            </w:r>
          </w:p>
        </w:tc>
        <w:tc>
          <w:tcPr>
            <w:tcW w:type="dxa" w:w="3360"/>
          </w:tcPr>
          <w:p>
            <w:r>
              <w:t>Measured value</w:t>
            </w:r>
          </w:p>
        </w:tc>
        <w:tc>
          <w:tcPr>
            <w:tcW w:type="dxa" w:w="3360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Processed/logged</w:t>
            </w:r>
          </w:p>
        </w:tc>
        <w:tc>
          <w:tcPr>
            <w:tcW w:type="dxa" w:w="3360"/>
          </w:tcPr>
          <w:p>
            <w:r>
              <w:t>80/80</w:t>
            </w:r>
          </w:p>
        </w:tc>
        <w:tc>
          <w:tcPr>
            <w:tcW w:type="dxa" w:w="3360"/>
          </w:tcPr>
          <w:p>
            <w:r>
              <w:t>No silent drop in this run.</w:t>
            </w:r>
          </w:p>
        </w:tc>
      </w:tr>
      <w:tr>
        <w:tc>
          <w:tcPr>
            <w:tcW w:type="dxa" w:w="3360"/>
          </w:tcPr>
          <w:p>
            <w:r>
              <w:t>Auto / escalated</w:t>
            </w:r>
          </w:p>
        </w:tc>
        <w:tc>
          <w:tcPr>
            <w:tcW w:type="dxa" w:w="3360"/>
          </w:tcPr>
          <w:p>
            <w:r>
              <w:t>32 (40%) / 48 (60%)</w:t>
            </w:r>
          </w:p>
        </w:tc>
        <w:tc>
          <w:tcPr>
            <w:tcW w:type="dxa" w:w="3360"/>
          </w:tcPr>
          <w:p>
            <w:r>
              <w:t>Escalation target ≤30% not met.</w:t>
            </w:r>
          </w:p>
        </w:tc>
      </w:tr>
      <w:tr>
        <w:tc>
          <w:tcPr>
            <w:tcW w:type="dxa" w:w="3360"/>
          </w:tcPr>
          <w:p>
            <w:r>
              <w:t>Auto-decision precision / recall</w:t>
            </w:r>
          </w:p>
        </w:tc>
        <w:tc>
          <w:tcPr>
            <w:tcW w:type="dxa" w:w="3360"/>
          </w:tcPr>
          <w:p>
            <w:r>
              <w:t>84.38% / 56.25%</w:t>
            </w:r>
          </w:p>
        </w:tc>
        <w:tc>
          <w:tcPr>
            <w:tcW w:type="dxa" w:w="3360"/>
          </w:tcPr>
          <w:p>
            <w:r>
              <w:t>Close to 85% precision target; conservative coverage trade-off.</w:t>
            </w:r>
          </w:p>
        </w:tc>
      </w:tr>
      <w:tr>
        <w:tc>
          <w:tcPr>
            <w:tcW w:type="dxa" w:w="3360"/>
          </w:tcPr>
          <w:p>
            <w:r>
              <w:t>Route classifier accuracy</w:t>
            </w:r>
          </w:p>
        </w:tc>
        <w:tc>
          <w:tcPr>
            <w:tcW w:type="dxa" w:w="3360"/>
          </w:tcPr>
          <w:p>
            <w:r>
              <w:t>78.75%</w:t>
            </w:r>
          </w:p>
        </w:tc>
        <w:tc>
          <w:tcPr>
            <w:tcW w:type="dxa" w:w="3360"/>
          </w:tcPr>
          <w:p>
            <w:r>
              <w:t>Before final route/answerability gates.</w:t>
            </w:r>
          </w:p>
        </w:tc>
      </w:tr>
      <w:tr>
        <w:tc>
          <w:tcPr>
            <w:tcW w:type="dxa" w:w="3360"/>
          </w:tcPr>
          <w:p>
            <w:r>
              <w:t>Answerability accuracy</w:t>
            </w:r>
          </w:p>
        </w:tc>
        <w:tc>
          <w:tcPr>
            <w:tcW w:type="dxa" w:w="3360"/>
          </w:tcPr>
          <w:p>
            <w:r>
              <w:t>76.25%</w:t>
            </w:r>
          </w:p>
        </w:tc>
        <w:tc>
          <w:tcPr>
            <w:tcW w:type="dxa" w:w="3360"/>
          </w:tcPr>
          <w:p>
            <w:r>
              <w:t>False positives and avoidable escalations remain.</w:t>
            </w:r>
          </w:p>
        </w:tc>
      </w:tr>
      <w:tr>
        <w:tc>
          <w:tcPr>
            <w:tcW w:type="dxa" w:w="3360"/>
          </w:tcPr>
          <w:p>
            <w:r>
              <w:t>Retrieval hit rate</w:t>
            </w:r>
          </w:p>
        </w:tc>
        <w:tc>
          <w:tcPr>
            <w:tcW w:type="dxa" w:w="3360"/>
          </w:tcPr>
          <w:p>
            <w:r>
              <w:t>94.34% on 53 labelled answerable tickets</w:t>
            </w:r>
          </w:p>
        </w:tc>
        <w:tc>
          <w:tcPr>
            <w:tcW w:type="dxa" w:w="3360"/>
          </w:tcPr>
          <w:p>
            <w:r>
              <w:t>Near but not equivalent to ≥95% claim-level citation accuracy.</w:t>
            </w:r>
          </w:p>
        </w:tc>
      </w:tr>
      <w:tr>
        <w:tc>
          <w:tcPr>
            <w:tcW w:type="dxa" w:w="3360"/>
          </w:tcPr>
          <w:p>
            <w:r>
              <w:t>Offline p95 latency</w:t>
            </w:r>
          </w:p>
        </w:tc>
        <w:tc>
          <w:tcPr>
            <w:tcW w:type="dxa" w:w="3360"/>
          </w:tcPr>
          <w:p>
            <w:r>
              <w:t>13.56 ms</w:t>
            </w:r>
          </w:p>
        </w:tc>
        <w:tc>
          <w:tcPr>
            <w:tcW w:type="dxa" w:w="3360"/>
          </w:tcPr>
          <w:p>
            <w:r>
              <w:t>Local pipeline time, not hosted-model response time.</w:t>
            </w:r>
          </w:p>
        </w:tc>
      </w:tr>
      <w:tr>
        <w:tc>
          <w:tcPr>
            <w:tcW w:type="dxa" w:w="3360"/>
          </w:tcPr>
          <w:p>
            <w:r>
              <w:t>Historical FCR / CSAT</w:t>
            </w:r>
          </w:p>
        </w:tc>
        <w:tc>
          <w:tcPr>
            <w:tcW w:type="dxa" w:w="3360"/>
          </w:tcPr>
          <w:p>
            <w:r>
              <w:t>46.25% / 2.60 out of 5</w:t>
            </w:r>
          </w:p>
        </w:tc>
        <w:tc>
          <w:tcPr>
            <w:tcW w:type="dxa" w:w="3360"/>
          </w:tcPr>
          <w:p>
            <w:r>
              <w:t>Supplied historical data, not measured impact of this system.</w:t>
            </w:r>
          </w:p>
        </w:tc>
      </w:tr>
    </w:tbl>
    <w:p>
      <w:pPr>
        <w:pStyle w:val="Heading1"/>
      </w:pPr>
      <w:r>
        <w:t>4. Assumptions that changed</w:t>
      </w:r>
    </w:p>
    <w:p>
      <w:pPr>
        <w:pStyle w:val="ListBullet"/>
      </w:pPr>
      <w:r>
        <w:t>A top-ranked passage does not necessarily mean the ticket is answerable; add a separate answerability gate.</w:t>
      </w:r>
    </w:p>
    <w:p>
      <w:pPr>
        <w:pStyle w:val="ListBullet"/>
      </w:pPr>
      <w:r>
        <w:t>A fixed high confidence threshold can make the system technically safe but operationally unhelpful; select thresholds from validation and show the trade-off.</w:t>
      </w:r>
    </w:p>
    <w:p>
      <w:pPr>
        <w:pStyle w:val="ListBullet"/>
      </w:pPr>
      <w:r>
        <w:t>An LLM or vector database must not be required for the grading gate; offline deterministic fallbacks are essential.</w:t>
      </w:r>
    </w:p>
    <w:p>
      <w:pPr>
        <w:pStyle w:val="ListBullet"/>
      </w:pPr>
      <w:r>
        <w:t>Source IDs alone are insufficient to audit claims; include passage text and require human claim-level review.</w:t>
      </w:r>
    </w:p>
    <w:p>
      <w:pPr>
        <w:pStyle w:val="Heading1"/>
      </w:pPr>
      <w:r>
        <w:t>5. Outstanding items</w:t>
      </w:r>
    </w:p>
    <w:p>
      <w:pPr>
        <w:pStyle w:val="ListBullet"/>
      </w:pPr>
      <w:r>
        <w:t>Run the hidden 120-ticket set only when the assessor authorizes it; do not tune on its contents.</w:t>
      </w:r>
    </w:p>
    <w:p>
      <w:pPr>
        <w:pStyle w:val="ListBullet"/>
      </w:pPr>
      <w:r>
        <w:t>Complete a two-reviewer audit of at least 50 responses and report agreement.</w:t>
      </w:r>
    </w:p>
    <w:p>
      <w:pPr>
        <w:pStyle w:val="ListBullet"/>
      </w:pPr>
      <w:r>
        <w:t>Record actual effort hours in the effort log; estimates in the sprint plan are not actual hours.</w:t>
      </w:r>
    </w:p>
    <w:p>
      <w:pPr>
        <w:pStyle w:val="ListBullet"/>
      </w:pPr>
      <w:r>
        <w:t>Record the student’s own demo video and complete the final report declaration.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