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4074" w14:textId="77777777" w:rsidR="00754FEE" w:rsidRDefault="00754FEE" w:rsidP="000C3EEC">
      <w:pPr>
        <w:spacing w:after="0" w:line="240" w:lineRule="auto"/>
        <w:jc w:val="both"/>
        <w:rPr>
          <w:rFonts w:ascii="Bookman Old Style" w:hAnsi="Bookman Old Style"/>
          <w:b/>
          <w:bCs/>
          <w:u w:val="single"/>
        </w:rPr>
      </w:pPr>
    </w:p>
    <w:p w14:paraId="0FACF786" w14:textId="77777777" w:rsidR="00754FEE" w:rsidRDefault="00754FEE" w:rsidP="000C3EEC">
      <w:pPr>
        <w:spacing w:after="0" w:line="240" w:lineRule="auto"/>
        <w:jc w:val="both"/>
        <w:rPr>
          <w:rFonts w:ascii="Bookman Old Style" w:hAnsi="Bookman Old Style"/>
          <w:b/>
          <w:bCs/>
          <w:u w:val="single"/>
        </w:rPr>
      </w:pPr>
    </w:p>
    <w:p w14:paraId="1F919D91" w14:textId="718B7FA6" w:rsidR="000C3EEC" w:rsidRDefault="00487213" w:rsidP="000C3EEC">
      <w:pPr>
        <w:spacing w:after="0" w:line="240" w:lineRule="auto"/>
        <w:jc w:val="both"/>
        <w:rPr>
          <w:rFonts w:ascii="Bookman Old Style" w:hAnsi="Bookman Old Style"/>
          <w:b/>
          <w:bCs/>
        </w:rPr>
      </w:pPr>
      <w:r w:rsidRPr="003E03B8">
        <w:rPr>
          <w:rFonts w:ascii="Bookman Old Style" w:hAnsi="Bookman Old Style"/>
          <w:b/>
          <w:bCs/>
          <w:u w:val="single"/>
        </w:rPr>
        <w:t>Question 1</w:t>
      </w:r>
      <w:r w:rsidRPr="003E03B8">
        <w:rPr>
          <w:rFonts w:ascii="Bookman Old Style" w:hAnsi="Bookman Old Style"/>
          <w:b/>
          <w:bCs/>
        </w:rPr>
        <w:t>: What is the baseline toolkit for digital governance – beyond rules? What core set of instruments should regulators have in place as ‘governance essentials’: core duties and outcome-based obligations, incentive levers, oversight and assurance mechanisms; adaptive and experimentation tools; and engagement and coordination practices?</w:t>
      </w:r>
    </w:p>
    <w:p w14:paraId="30567FFF" w14:textId="77777777" w:rsidR="000C3EEC" w:rsidRDefault="000C3EEC" w:rsidP="000C3EEC">
      <w:pPr>
        <w:spacing w:after="0" w:line="240" w:lineRule="auto"/>
        <w:jc w:val="both"/>
        <w:rPr>
          <w:rFonts w:ascii="Bookman Old Style" w:hAnsi="Bookman Old Style"/>
          <w:b/>
          <w:bCs/>
        </w:rPr>
      </w:pPr>
    </w:p>
    <w:p w14:paraId="686947D5" w14:textId="114D82D2" w:rsidR="00E55C12" w:rsidRPr="0025638F" w:rsidRDefault="00487213" w:rsidP="00C32270">
      <w:pPr>
        <w:spacing w:after="0" w:line="240" w:lineRule="auto"/>
        <w:ind w:left="720" w:firstLine="720"/>
        <w:jc w:val="both"/>
        <w:rPr>
          <w:rFonts w:ascii="Bookman Old Style" w:hAnsi="Bookman Old Style"/>
          <w:szCs w:val="24"/>
        </w:rPr>
      </w:pPr>
      <w:r w:rsidRPr="000C3EEC">
        <w:rPr>
          <w:rFonts w:ascii="Bookman Old Style" w:hAnsi="Bookman Old Style"/>
          <w:szCs w:val="24"/>
        </w:rPr>
        <w:t xml:space="preserve">In the converged digital ecosystem, regulatory frameworks </w:t>
      </w:r>
      <w:r w:rsidRPr="0024095F">
        <w:rPr>
          <w:rFonts w:ascii="Bookman Old Style" w:hAnsi="Bookman Old Style"/>
          <w:strike/>
          <w:szCs w:val="24"/>
        </w:rPr>
        <w:t>must move</w:t>
      </w:r>
      <w:r w:rsidRPr="000C3EEC">
        <w:rPr>
          <w:rFonts w:ascii="Bookman Old Style" w:hAnsi="Bookman Old Style"/>
          <w:szCs w:val="24"/>
        </w:rPr>
        <w:t xml:space="preserve"> </w:t>
      </w:r>
      <w:r w:rsidR="0024095F">
        <w:rPr>
          <w:rFonts w:ascii="Bookman Old Style" w:hAnsi="Bookman Old Style"/>
          <w:szCs w:val="24"/>
        </w:rPr>
        <w:t xml:space="preserve">should shift from </w:t>
      </w:r>
      <w:r w:rsidRPr="005B3B42">
        <w:rPr>
          <w:rFonts w:ascii="Bookman Old Style" w:hAnsi="Bookman Old Style"/>
          <w:strike/>
          <w:szCs w:val="24"/>
        </w:rPr>
        <w:t>beyond</w:t>
      </w:r>
      <w:r w:rsidRPr="000C3EEC">
        <w:rPr>
          <w:rFonts w:ascii="Bookman Old Style" w:hAnsi="Bookman Old Style"/>
          <w:szCs w:val="24"/>
        </w:rPr>
        <w:t xml:space="preserve"> static, rule-bound approaches toward </w:t>
      </w:r>
      <w:r w:rsidRPr="0025638F">
        <w:rPr>
          <w:rFonts w:ascii="Bookman Old Style" w:hAnsi="Bookman Old Style"/>
          <w:szCs w:val="24"/>
        </w:rPr>
        <w:t>agile, principle-based and technology-neutral governance.</w:t>
      </w:r>
      <w:r w:rsidRPr="000C3EEC">
        <w:rPr>
          <w:rFonts w:ascii="Bookman Old Style" w:hAnsi="Bookman Old Style"/>
          <w:szCs w:val="24"/>
        </w:rPr>
        <w:t xml:space="preserve"> The </w:t>
      </w:r>
      <w:r w:rsidRPr="005A001D">
        <w:rPr>
          <w:rFonts w:ascii="Bookman Old Style" w:hAnsi="Bookman Old Style"/>
          <w:strike/>
          <w:szCs w:val="24"/>
        </w:rPr>
        <w:t>objective</w:t>
      </w:r>
      <w:r w:rsidR="005A001D">
        <w:rPr>
          <w:rFonts w:ascii="Bookman Old Style" w:hAnsi="Bookman Old Style"/>
          <w:szCs w:val="24"/>
        </w:rPr>
        <w:t xml:space="preserve"> </w:t>
      </w:r>
      <w:r w:rsidR="005A001D" w:rsidRPr="00E55C12">
        <w:rPr>
          <w:rFonts w:ascii="Bookman Old Style" w:hAnsi="Bookman Old Style"/>
          <w:szCs w:val="24"/>
        </w:rPr>
        <w:t>stated goal</w:t>
      </w:r>
      <w:r w:rsidRPr="000C3EEC">
        <w:rPr>
          <w:rFonts w:ascii="Bookman Old Style" w:hAnsi="Bookman Old Style"/>
          <w:szCs w:val="24"/>
        </w:rPr>
        <w:t xml:space="preserve"> is to maintain a </w:t>
      </w:r>
      <w:r w:rsidRPr="0025638F">
        <w:rPr>
          <w:rFonts w:ascii="Bookman Old Style" w:hAnsi="Bookman Old Style"/>
          <w:szCs w:val="24"/>
        </w:rPr>
        <w:t xml:space="preserve">light-touch yet resilient regulatory architecture that </w:t>
      </w:r>
      <w:r w:rsidRPr="0025638F">
        <w:rPr>
          <w:rFonts w:ascii="Bookman Old Style" w:hAnsi="Bookman Old Style"/>
          <w:strike/>
          <w:szCs w:val="24"/>
        </w:rPr>
        <w:t>promotes</w:t>
      </w:r>
      <w:r w:rsidR="001F46DA" w:rsidRPr="0025638F">
        <w:rPr>
          <w:rFonts w:ascii="Bookman Old Style" w:hAnsi="Bookman Old Style"/>
          <w:szCs w:val="24"/>
        </w:rPr>
        <w:t xml:space="preserve"> fosters</w:t>
      </w:r>
      <w:r w:rsidRPr="0025638F">
        <w:rPr>
          <w:rFonts w:ascii="Bookman Old Style" w:hAnsi="Bookman Old Style"/>
          <w:szCs w:val="24"/>
        </w:rPr>
        <w:t xml:space="preserve"> innovation, ensures a level playing field and protects consumer interests while </w:t>
      </w:r>
      <w:r w:rsidRPr="0025638F">
        <w:rPr>
          <w:rFonts w:ascii="Bookman Old Style" w:hAnsi="Bookman Old Style"/>
          <w:strike/>
          <w:szCs w:val="24"/>
        </w:rPr>
        <w:t>remaining</w:t>
      </w:r>
      <w:r w:rsidRPr="0025638F">
        <w:rPr>
          <w:rFonts w:ascii="Bookman Old Style" w:hAnsi="Bookman Old Style"/>
          <w:szCs w:val="24"/>
        </w:rPr>
        <w:t xml:space="preserve"> adapt</w:t>
      </w:r>
      <w:r w:rsidR="00307B5D" w:rsidRPr="0025638F">
        <w:rPr>
          <w:rFonts w:ascii="Bookman Old Style" w:hAnsi="Bookman Old Style"/>
          <w:szCs w:val="24"/>
        </w:rPr>
        <w:t>ing</w:t>
      </w:r>
      <w:r w:rsidRPr="0025638F">
        <w:rPr>
          <w:rFonts w:ascii="Bookman Old Style" w:hAnsi="Bookman Old Style"/>
          <w:szCs w:val="24"/>
        </w:rPr>
        <w:t xml:space="preserve"> to technological developments.</w:t>
      </w:r>
    </w:p>
    <w:p w14:paraId="23A0C55E" w14:textId="77777777" w:rsidR="00E55C12" w:rsidRPr="0025638F" w:rsidRDefault="00E55C12" w:rsidP="000C3EEC">
      <w:pPr>
        <w:spacing w:after="0" w:line="240" w:lineRule="auto"/>
        <w:ind w:left="709" w:hanging="709"/>
        <w:jc w:val="both"/>
        <w:rPr>
          <w:rFonts w:ascii="Bookman Old Style" w:hAnsi="Bookman Old Style"/>
          <w:szCs w:val="24"/>
        </w:rPr>
      </w:pPr>
    </w:p>
    <w:p w14:paraId="2105E856" w14:textId="545C19DA" w:rsidR="000C3EEC" w:rsidRDefault="009D3DF7" w:rsidP="008E327B">
      <w:pPr>
        <w:spacing w:after="0" w:line="240" w:lineRule="auto"/>
        <w:ind w:left="720" w:firstLine="720"/>
        <w:jc w:val="both"/>
        <w:rPr>
          <w:rFonts w:ascii="Bookman Old Style" w:hAnsi="Bookman Old Style"/>
          <w:szCs w:val="24"/>
        </w:rPr>
      </w:pPr>
      <w:r w:rsidRPr="0025638F">
        <w:rPr>
          <w:rFonts w:ascii="Bookman Old Style" w:hAnsi="Bookman Old Style"/>
          <w:szCs w:val="24"/>
        </w:rPr>
        <w:t>A</w:t>
      </w:r>
      <w:r w:rsidRPr="0025638F">
        <w:rPr>
          <w:rFonts w:ascii="Bookman Old Style" w:hAnsi="Bookman Old Style"/>
          <w:szCs w:val="24"/>
        </w:rPr>
        <w:t>doption of principle-based licensing or authorization frameworks</w:t>
      </w:r>
      <w:r w:rsidR="00487213" w:rsidRPr="000C3EEC">
        <w:rPr>
          <w:rFonts w:ascii="Bookman Old Style" w:hAnsi="Bookman Old Style"/>
          <w:szCs w:val="24"/>
        </w:rPr>
        <w:t xml:space="preserve"> </w:t>
      </w:r>
      <w:r w:rsidR="00487213" w:rsidRPr="009D71EA">
        <w:rPr>
          <w:rFonts w:ascii="Bookman Old Style" w:hAnsi="Bookman Old Style"/>
          <w:strike/>
          <w:szCs w:val="24"/>
        </w:rPr>
        <w:t>approach</w:t>
      </w:r>
      <w:r w:rsidR="00487213" w:rsidRPr="000C3EEC">
        <w:rPr>
          <w:rFonts w:ascii="Bookman Old Style" w:hAnsi="Bookman Old Style"/>
          <w:szCs w:val="24"/>
        </w:rPr>
        <w:t xml:space="preserve"> provides flexibility to service providers while ensuring that regulatory objectives such as transparency, competition and consumer protection are met. India’s telecommunications sector already reflects this philosophy through a tariff forbearance regime, which has enabled dynamic competition, affordability of services and continued investment in next-generation infrastructure including fibre networks and 5G deployment.</w:t>
      </w:r>
    </w:p>
    <w:p w14:paraId="54B20A48" w14:textId="77777777" w:rsidR="00C32270" w:rsidRDefault="00C32270" w:rsidP="000C3EEC">
      <w:pPr>
        <w:spacing w:after="0" w:line="240" w:lineRule="auto"/>
        <w:ind w:left="709" w:hanging="709"/>
        <w:jc w:val="both"/>
        <w:rPr>
          <w:rFonts w:ascii="Bookman Old Style" w:hAnsi="Bookman Old Style"/>
          <w:szCs w:val="24"/>
        </w:rPr>
      </w:pPr>
    </w:p>
    <w:p w14:paraId="0F98AB64" w14:textId="12D0265F" w:rsidR="000C3EEC" w:rsidRDefault="00487213" w:rsidP="000C3EEC">
      <w:pPr>
        <w:spacing w:after="0" w:line="240" w:lineRule="auto"/>
        <w:ind w:left="720" w:firstLine="720"/>
        <w:jc w:val="both"/>
        <w:rPr>
          <w:rFonts w:ascii="Bookman Old Style" w:hAnsi="Bookman Old Style"/>
          <w:szCs w:val="24"/>
        </w:rPr>
      </w:pPr>
      <w:r w:rsidRPr="0025638F">
        <w:rPr>
          <w:rFonts w:ascii="Bookman Old Style" w:hAnsi="Bookman Old Style"/>
          <w:szCs w:val="24"/>
        </w:rPr>
        <w:t>Transparent and participatory decision-making</w:t>
      </w:r>
      <w:r w:rsidRPr="000C3EEC">
        <w:rPr>
          <w:rFonts w:ascii="Bookman Old Style" w:hAnsi="Bookman Old Style"/>
          <w:szCs w:val="24"/>
        </w:rPr>
        <w:t xml:space="preserve"> is another key pillar</w:t>
      </w:r>
      <w:r w:rsidR="00205423">
        <w:rPr>
          <w:rFonts w:ascii="Bookman Old Style" w:hAnsi="Bookman Old Style"/>
          <w:szCs w:val="24"/>
        </w:rPr>
        <w:t xml:space="preserve"> </w:t>
      </w:r>
      <w:r w:rsidR="00205423" w:rsidRPr="00205423">
        <w:rPr>
          <w:rFonts w:ascii="Bookman Old Style" w:hAnsi="Bookman Old Style"/>
          <w:color w:val="EE0000"/>
          <w:szCs w:val="24"/>
        </w:rPr>
        <w:t>of this approach</w:t>
      </w:r>
      <w:r w:rsidRPr="000C3EEC">
        <w:rPr>
          <w:rFonts w:ascii="Bookman Old Style" w:hAnsi="Bookman Old Style"/>
          <w:szCs w:val="24"/>
        </w:rPr>
        <w:t>. TRAI follows a structured multi-stakeholder consultation process involving pre-consultations, stakeholder meetings, consultation papers seeking comments and counter-comments, and open house discussions. Engagement with industry, technical experts and consumer organizations ensures that regulatory decisions are evidence-based, transparent and responsive to evolving technological and market realities.</w:t>
      </w:r>
    </w:p>
    <w:p w14:paraId="4D2A4695" w14:textId="77777777" w:rsidR="005A1F8A" w:rsidRDefault="005A1F8A" w:rsidP="000C3EEC">
      <w:pPr>
        <w:spacing w:after="0" w:line="240" w:lineRule="auto"/>
        <w:ind w:left="720" w:firstLine="720"/>
        <w:jc w:val="both"/>
        <w:rPr>
          <w:rFonts w:ascii="Bookman Old Style" w:hAnsi="Bookman Old Style"/>
          <w:szCs w:val="24"/>
        </w:rPr>
      </w:pPr>
    </w:p>
    <w:p w14:paraId="6EF3D6BE" w14:textId="10AEDA96" w:rsidR="000C3EEC" w:rsidRDefault="00487213" w:rsidP="000C3EEC">
      <w:pPr>
        <w:spacing w:after="0" w:line="240" w:lineRule="auto"/>
        <w:ind w:left="720" w:firstLine="720"/>
        <w:jc w:val="both"/>
        <w:rPr>
          <w:rFonts w:ascii="Bookman Old Style" w:hAnsi="Bookman Old Style"/>
          <w:szCs w:val="24"/>
        </w:rPr>
      </w:pPr>
      <w:r w:rsidRPr="000C3EEC">
        <w:rPr>
          <w:rFonts w:ascii="Bookman Old Style" w:hAnsi="Bookman Old Style"/>
          <w:szCs w:val="24"/>
        </w:rPr>
        <w:t>To support effective oversight while minimizing regulatory burden, governance frameworks should incorporate non-intrusive compliance and monitoring instruments. Electronic data collection, periodic reporting and analytical assessment of network capacity, traffic patterns, service subscriptions and revenue trends enable informed rule</w:t>
      </w:r>
      <w:r>
        <w:rPr>
          <w:rFonts w:ascii="Bookman Old Style" w:hAnsi="Bookman Old Style"/>
          <w:szCs w:val="24"/>
        </w:rPr>
        <w:t xml:space="preserve"> </w:t>
      </w:r>
      <w:r w:rsidRPr="000C3EEC">
        <w:rPr>
          <w:rFonts w:ascii="Bookman Old Style" w:hAnsi="Bookman Old Style"/>
          <w:szCs w:val="24"/>
        </w:rPr>
        <w:t>making and policy evaluation. Performance-based regulatory standards supported by Key Performance Indicators (KPIs) strengthen transparency and accountability while allowing operational flexibility for service providers. Tools such as technology-wise coverage disclosures, granular data reporting and standardized measurement methodologies further enhance comparability and consumer awareness. Advanced analytics, including artificial intelligence and machine learning, can also support proactive regulatory monitoring as networks become increasingly complex.</w:t>
      </w:r>
    </w:p>
    <w:p w14:paraId="39B85E7C" w14:textId="77777777" w:rsidR="000C3EEC" w:rsidRDefault="000C3EEC" w:rsidP="000C3EEC">
      <w:pPr>
        <w:spacing w:after="0" w:line="240" w:lineRule="auto"/>
        <w:ind w:left="709" w:hanging="709"/>
        <w:jc w:val="both"/>
        <w:rPr>
          <w:rFonts w:ascii="Bookman Old Style" w:hAnsi="Bookman Old Style"/>
          <w:szCs w:val="24"/>
        </w:rPr>
      </w:pPr>
    </w:p>
    <w:p w14:paraId="1B8238CD" w14:textId="4BA70C83" w:rsidR="000C3EEC" w:rsidRPr="000C3EEC" w:rsidRDefault="00487213" w:rsidP="000C3EEC">
      <w:pPr>
        <w:spacing w:after="0" w:line="240" w:lineRule="auto"/>
        <w:ind w:left="720" w:firstLine="720"/>
        <w:jc w:val="both"/>
        <w:rPr>
          <w:rFonts w:ascii="Bookman Old Style" w:hAnsi="Bookman Old Style"/>
          <w:szCs w:val="24"/>
        </w:rPr>
      </w:pPr>
      <w:r w:rsidRPr="000C3EEC">
        <w:rPr>
          <w:rFonts w:ascii="Bookman Old Style" w:hAnsi="Bookman Old Style"/>
          <w:szCs w:val="24"/>
        </w:rPr>
        <w:t xml:space="preserve">Digital governance must also incorporate adaptive regulatory instruments that enable innovation. Regulatory sandboxes, pilot programmes and controlled experimentation environments allow emerging technologies and new service models to be tested within </w:t>
      </w:r>
      <w:r w:rsidR="00884AD8" w:rsidRPr="00071B66">
        <w:rPr>
          <w:rFonts w:ascii="Bookman Old Style" w:hAnsi="Bookman Old Style"/>
          <w:color w:val="EE0000"/>
          <w:szCs w:val="24"/>
        </w:rPr>
        <w:t>clearly</w:t>
      </w:r>
      <w:r w:rsidR="00071B66">
        <w:rPr>
          <w:rFonts w:ascii="Bookman Old Style" w:hAnsi="Bookman Old Style"/>
          <w:szCs w:val="24"/>
        </w:rPr>
        <w:t xml:space="preserve"> </w:t>
      </w:r>
      <w:r w:rsidRPr="000C3EEC">
        <w:rPr>
          <w:rFonts w:ascii="Bookman Old Style" w:hAnsi="Bookman Old Style"/>
          <w:szCs w:val="24"/>
        </w:rPr>
        <w:t>defined safeguards. Similarly, phased implementation approaches</w:t>
      </w:r>
      <w:r w:rsidR="00071B66">
        <w:rPr>
          <w:rFonts w:ascii="Bookman Old Style" w:hAnsi="Bookman Old Style"/>
          <w:szCs w:val="24"/>
        </w:rPr>
        <w:t>,</w:t>
      </w:r>
      <w:r w:rsidRPr="000C3EEC">
        <w:rPr>
          <w:rFonts w:ascii="Bookman Old Style" w:hAnsi="Bookman Old Style"/>
          <w:szCs w:val="24"/>
        </w:rPr>
        <w:t xml:space="preserve"> such as regulatory “glide paths” enable gradual adoption of new requirements, allowing service providers to upgrade infrastructure while ensuring continuous improvements in service quality.</w:t>
      </w:r>
    </w:p>
    <w:p w14:paraId="315A9709" w14:textId="77777777" w:rsidR="000C3EEC" w:rsidRDefault="000C3EEC" w:rsidP="000C3EEC">
      <w:pPr>
        <w:spacing w:after="0" w:line="240" w:lineRule="auto"/>
        <w:ind w:left="709" w:hanging="709"/>
        <w:jc w:val="both"/>
        <w:rPr>
          <w:rFonts w:ascii="Bookman Old Style" w:hAnsi="Bookman Old Style"/>
          <w:szCs w:val="24"/>
        </w:rPr>
      </w:pPr>
    </w:p>
    <w:p w14:paraId="6DC9DB06" w14:textId="4CC19776" w:rsidR="000C3EEC" w:rsidRPr="000C3EEC" w:rsidRDefault="00487213" w:rsidP="000C3EEC">
      <w:pPr>
        <w:spacing w:after="0" w:line="240" w:lineRule="auto"/>
        <w:ind w:left="720" w:firstLine="720"/>
        <w:jc w:val="both"/>
        <w:rPr>
          <w:rFonts w:ascii="Bookman Old Style" w:hAnsi="Bookman Old Style"/>
          <w:szCs w:val="24"/>
        </w:rPr>
      </w:pPr>
      <w:r w:rsidRPr="000C3EEC">
        <w:rPr>
          <w:rFonts w:ascii="Bookman Old Style" w:hAnsi="Bookman Old Style"/>
          <w:szCs w:val="24"/>
        </w:rPr>
        <w:t xml:space="preserve">Collaboration and co-regulation are equally important in a converged digital ecosystem. </w:t>
      </w:r>
      <w:r w:rsidR="00315F0D" w:rsidRPr="00546EBA">
        <w:rPr>
          <w:rFonts w:ascii="Bookman Old Style" w:hAnsi="Bookman Old Style"/>
          <w:color w:val="EE0000"/>
          <w:szCs w:val="24"/>
        </w:rPr>
        <w:t>The</w:t>
      </w:r>
      <w:r w:rsidR="00315F0D">
        <w:rPr>
          <w:rFonts w:ascii="Bookman Old Style" w:hAnsi="Bookman Old Style"/>
          <w:szCs w:val="24"/>
        </w:rPr>
        <w:t xml:space="preserve"> d</w:t>
      </w:r>
      <w:r w:rsidRPr="000C3EEC">
        <w:rPr>
          <w:rFonts w:ascii="Bookman Old Style" w:hAnsi="Bookman Old Style"/>
          <w:szCs w:val="24"/>
        </w:rPr>
        <w:t>evelopment of standards and codes of practice through multi-stakeholder engagement can encourage industry-led compliance and self-regulation. Cross-sectoral collaboration among regulators</w:t>
      </w:r>
      <w:r w:rsidR="00957245">
        <w:rPr>
          <w:rFonts w:ascii="Bookman Old Style" w:hAnsi="Bookman Old Style"/>
          <w:szCs w:val="24"/>
        </w:rPr>
        <w:t>,</w:t>
      </w:r>
      <w:r w:rsidR="002530A7">
        <w:rPr>
          <w:rFonts w:ascii="Bookman Old Style" w:hAnsi="Bookman Old Style"/>
          <w:szCs w:val="24"/>
        </w:rPr>
        <w:t xml:space="preserve"> </w:t>
      </w:r>
      <w:r w:rsidR="002530A7" w:rsidRPr="002530A7">
        <w:rPr>
          <w:rFonts w:ascii="Bookman Old Style" w:hAnsi="Bookman Old Style"/>
          <w:color w:val="EE0000"/>
          <w:szCs w:val="24"/>
        </w:rPr>
        <w:t>along with</w:t>
      </w:r>
      <w:r w:rsidRPr="002530A7">
        <w:rPr>
          <w:rFonts w:ascii="Bookman Old Style" w:hAnsi="Bookman Old Style"/>
          <w:color w:val="EE0000"/>
          <w:szCs w:val="24"/>
        </w:rPr>
        <w:t xml:space="preserve"> </w:t>
      </w:r>
      <w:r w:rsidRPr="00D328DB">
        <w:rPr>
          <w:rFonts w:ascii="Bookman Old Style" w:hAnsi="Bookman Old Style"/>
          <w:strike/>
          <w:szCs w:val="24"/>
        </w:rPr>
        <w:t>an</w:t>
      </w:r>
      <w:r w:rsidR="00D328DB" w:rsidRPr="00D328DB">
        <w:rPr>
          <w:rFonts w:ascii="Bookman Old Style" w:hAnsi="Bookman Old Style"/>
          <w:strike/>
          <w:szCs w:val="24"/>
        </w:rPr>
        <w:t>d</w:t>
      </w:r>
      <w:r w:rsidRPr="000C3EEC">
        <w:rPr>
          <w:rFonts w:ascii="Bookman Old Style" w:hAnsi="Bookman Old Style"/>
          <w:szCs w:val="24"/>
        </w:rPr>
        <w:t xml:space="preserve"> participation in regional and international platforms</w:t>
      </w:r>
      <w:r w:rsidR="00D328DB">
        <w:rPr>
          <w:rFonts w:ascii="Bookman Old Style" w:hAnsi="Bookman Old Style"/>
          <w:szCs w:val="24"/>
        </w:rPr>
        <w:t>,</w:t>
      </w:r>
      <w:r w:rsidRPr="00D328DB">
        <w:rPr>
          <w:rFonts w:ascii="Bookman Old Style" w:hAnsi="Bookman Old Style"/>
          <w:strike/>
          <w:szCs w:val="24"/>
        </w:rPr>
        <w:t xml:space="preserve"> also</w:t>
      </w:r>
      <w:r w:rsidRPr="000C3EEC">
        <w:rPr>
          <w:rFonts w:ascii="Bookman Old Style" w:hAnsi="Bookman Old Style"/>
          <w:szCs w:val="24"/>
        </w:rPr>
        <w:t xml:space="preserve"> support</w:t>
      </w:r>
      <w:r w:rsidR="00D328DB">
        <w:rPr>
          <w:rFonts w:ascii="Bookman Old Style" w:hAnsi="Bookman Old Style"/>
          <w:szCs w:val="24"/>
        </w:rPr>
        <w:t>s</w:t>
      </w:r>
      <w:r w:rsidRPr="000C3EEC">
        <w:rPr>
          <w:rFonts w:ascii="Bookman Old Style" w:hAnsi="Bookman Old Style"/>
          <w:szCs w:val="24"/>
        </w:rPr>
        <w:t xml:space="preserve"> knowledge sharing, policy alignment</w:t>
      </w:r>
      <w:r w:rsidR="00241730">
        <w:rPr>
          <w:rFonts w:ascii="Bookman Old Style" w:hAnsi="Bookman Old Style"/>
          <w:szCs w:val="24"/>
        </w:rPr>
        <w:t>,</w:t>
      </w:r>
      <w:r w:rsidRPr="000C3EEC">
        <w:rPr>
          <w:rFonts w:ascii="Bookman Old Style" w:hAnsi="Bookman Old Style"/>
          <w:szCs w:val="24"/>
        </w:rPr>
        <w:t xml:space="preserve"> and coordinated responses to emerging digital challenges.</w:t>
      </w:r>
    </w:p>
    <w:p w14:paraId="73E46B1D" w14:textId="74A2BE64" w:rsidR="000C3EEC" w:rsidRPr="000C3EEC" w:rsidRDefault="000C3EEC" w:rsidP="00292805">
      <w:pPr>
        <w:spacing w:after="0" w:line="240" w:lineRule="auto"/>
        <w:jc w:val="both"/>
        <w:rPr>
          <w:rFonts w:ascii="Bookman Old Style" w:hAnsi="Bookman Old Style"/>
          <w:szCs w:val="24"/>
        </w:rPr>
      </w:pPr>
    </w:p>
    <w:p w14:paraId="1CEE3425" w14:textId="79EBFB2D" w:rsidR="000C3EEC" w:rsidRPr="000C3EEC" w:rsidRDefault="00487213" w:rsidP="000C3EEC">
      <w:pPr>
        <w:spacing w:after="0" w:line="240" w:lineRule="auto"/>
        <w:ind w:left="720" w:firstLine="720"/>
        <w:jc w:val="both"/>
        <w:rPr>
          <w:rFonts w:ascii="Bookman Old Style" w:hAnsi="Bookman Old Style"/>
          <w:szCs w:val="24"/>
        </w:rPr>
      </w:pPr>
      <w:r w:rsidRPr="000C3EEC">
        <w:rPr>
          <w:rFonts w:ascii="Bookman Old Style" w:hAnsi="Bookman Old Style"/>
          <w:szCs w:val="24"/>
        </w:rPr>
        <w:lastRenderedPageBreak/>
        <w:t xml:space="preserve">Finally, digital governance must remain </w:t>
      </w:r>
      <w:r w:rsidR="005B1D69" w:rsidRPr="005B1D69">
        <w:rPr>
          <w:rFonts w:ascii="Bookman Old Style" w:hAnsi="Bookman Old Style"/>
          <w:color w:val="EE0000"/>
          <w:szCs w:val="24"/>
        </w:rPr>
        <w:t>firmly</w:t>
      </w:r>
      <w:r w:rsidR="005B1D69">
        <w:rPr>
          <w:rFonts w:ascii="Bookman Old Style" w:hAnsi="Bookman Old Style"/>
          <w:szCs w:val="24"/>
        </w:rPr>
        <w:t xml:space="preserve"> </w:t>
      </w:r>
      <w:r w:rsidRPr="000C3EEC">
        <w:rPr>
          <w:rFonts w:ascii="Bookman Old Style" w:hAnsi="Bookman Old Style"/>
          <w:szCs w:val="24"/>
        </w:rPr>
        <w:t xml:space="preserve">anchored in public interest outcomes. Ensuring universal and meaningful connectivity—including network availability, service affordability, access to devices and digital literacy—remains a key policy priority. Inclusive access to broadcasting and digital services, plurality of viewpoints and accessibility for persons with disabilities should continue to guide regulatory frameworks. Time-bound incentives and targeted initiatives </w:t>
      </w:r>
      <w:r w:rsidRPr="00F130A2">
        <w:rPr>
          <w:rFonts w:ascii="Bookman Old Style" w:hAnsi="Bookman Old Style"/>
          <w:strike/>
          <w:szCs w:val="24"/>
        </w:rPr>
        <w:t>may</w:t>
      </w:r>
      <w:r w:rsidRPr="000C3EEC">
        <w:rPr>
          <w:rFonts w:ascii="Bookman Old Style" w:hAnsi="Bookman Old Style"/>
          <w:szCs w:val="24"/>
        </w:rPr>
        <w:t xml:space="preserve"> </w:t>
      </w:r>
      <w:r w:rsidR="00F130A2">
        <w:rPr>
          <w:rFonts w:ascii="Bookman Old Style" w:hAnsi="Bookman Old Style"/>
          <w:szCs w:val="24"/>
        </w:rPr>
        <w:t xml:space="preserve">can </w:t>
      </w:r>
      <w:r w:rsidRPr="000C3EEC">
        <w:rPr>
          <w:rFonts w:ascii="Bookman Old Style" w:hAnsi="Bookman Old Style"/>
          <w:szCs w:val="24"/>
        </w:rPr>
        <w:t xml:space="preserve">further support infrastructure expansion and digital inclusion in underserved </w:t>
      </w:r>
      <w:r w:rsidR="000A2C83" w:rsidRPr="000B51B5">
        <w:rPr>
          <w:rFonts w:ascii="Bookman Old Style" w:hAnsi="Bookman Old Style"/>
          <w:color w:val="EE0000"/>
          <w:szCs w:val="24"/>
        </w:rPr>
        <w:t>and remote</w:t>
      </w:r>
      <w:r w:rsidR="003D7677" w:rsidRPr="000B51B5">
        <w:rPr>
          <w:rFonts w:ascii="Bookman Old Style" w:hAnsi="Bookman Old Style"/>
          <w:color w:val="EE0000"/>
          <w:szCs w:val="24"/>
        </w:rPr>
        <w:t xml:space="preserve"> </w:t>
      </w:r>
      <w:r w:rsidRPr="000C3EEC">
        <w:rPr>
          <w:rFonts w:ascii="Bookman Old Style" w:hAnsi="Bookman Old Style"/>
          <w:szCs w:val="24"/>
        </w:rPr>
        <w:t>regions.</w:t>
      </w:r>
    </w:p>
    <w:p w14:paraId="3E5CCD66" w14:textId="77777777" w:rsidR="000C3EEC" w:rsidRDefault="000C3EEC" w:rsidP="000C3EEC">
      <w:pPr>
        <w:spacing w:after="0" w:line="240" w:lineRule="auto"/>
        <w:ind w:left="709" w:hanging="709"/>
        <w:jc w:val="both"/>
        <w:rPr>
          <w:rFonts w:ascii="Bookman Old Style" w:hAnsi="Bookman Old Style"/>
          <w:szCs w:val="24"/>
        </w:rPr>
      </w:pPr>
    </w:p>
    <w:p w14:paraId="7953259D" w14:textId="50E87DFC" w:rsidR="000C3EEC" w:rsidRPr="000C3EEC" w:rsidRDefault="00487213" w:rsidP="000C3EEC">
      <w:pPr>
        <w:spacing w:after="0" w:line="240" w:lineRule="auto"/>
        <w:ind w:left="720" w:firstLine="720"/>
        <w:jc w:val="both"/>
        <w:rPr>
          <w:rFonts w:ascii="Bookman Old Style" w:hAnsi="Bookman Old Style"/>
          <w:szCs w:val="24"/>
        </w:rPr>
      </w:pPr>
      <w:r w:rsidRPr="000C3EEC">
        <w:rPr>
          <w:rFonts w:ascii="Bookman Old Style" w:hAnsi="Bookman Old Style"/>
          <w:szCs w:val="24"/>
        </w:rPr>
        <w:t xml:space="preserve">Overall, a balanced governance framework combining principle-based regulation, outcome-oriented oversight, stakeholder engagement, adaptive regulatory tools and collaborative approaches </w:t>
      </w:r>
      <w:proofErr w:type="gramStart"/>
      <w:r w:rsidRPr="00B21FD4">
        <w:rPr>
          <w:rFonts w:ascii="Bookman Old Style" w:hAnsi="Bookman Old Style"/>
          <w:strike/>
          <w:szCs w:val="24"/>
        </w:rPr>
        <w:t>will</w:t>
      </w:r>
      <w:r w:rsidRPr="000C3EEC">
        <w:rPr>
          <w:rFonts w:ascii="Bookman Old Style" w:hAnsi="Bookman Old Style"/>
          <w:szCs w:val="24"/>
        </w:rPr>
        <w:t xml:space="preserve"> </w:t>
      </w:r>
      <w:r w:rsidR="00B21FD4">
        <w:rPr>
          <w:rFonts w:ascii="Bookman Old Style" w:hAnsi="Bookman Old Style"/>
          <w:szCs w:val="24"/>
        </w:rPr>
        <w:t>can</w:t>
      </w:r>
      <w:proofErr w:type="gramEnd"/>
      <w:r w:rsidR="00B21FD4">
        <w:rPr>
          <w:rFonts w:ascii="Bookman Old Style" w:hAnsi="Bookman Old Style"/>
          <w:szCs w:val="24"/>
        </w:rPr>
        <w:t xml:space="preserve"> </w:t>
      </w:r>
      <w:r w:rsidRPr="000C3EEC">
        <w:rPr>
          <w:rFonts w:ascii="Bookman Old Style" w:hAnsi="Bookman Old Style"/>
          <w:szCs w:val="24"/>
        </w:rPr>
        <w:t>enable innovation while safeguarding consumer welfare and ensuring sustainable growth in the broadcasting and digital communications ecosystem.</w:t>
      </w:r>
    </w:p>
    <w:p w14:paraId="58861378" w14:textId="0D0A6EBE" w:rsidR="000C3EEC" w:rsidRDefault="000C3EEC">
      <w:pPr>
        <w:rPr>
          <w:rFonts w:ascii="Bookman Old Style" w:hAnsi="Bookman Old Style"/>
          <w:b/>
          <w:bCs/>
          <w:szCs w:val="24"/>
          <w:u w:val="single"/>
        </w:rPr>
      </w:pPr>
    </w:p>
    <w:p w14:paraId="683DC017" w14:textId="77777777" w:rsidR="000C3EEC" w:rsidRDefault="00487213" w:rsidP="000C3EEC">
      <w:pPr>
        <w:spacing w:after="0" w:line="240" w:lineRule="auto"/>
        <w:jc w:val="both"/>
        <w:rPr>
          <w:rFonts w:ascii="Bookman Old Style" w:hAnsi="Bookman Old Style"/>
          <w:b/>
          <w:bCs/>
        </w:rPr>
      </w:pPr>
      <w:r w:rsidRPr="00A76FC5">
        <w:rPr>
          <w:rFonts w:ascii="Bookman Old Style" w:hAnsi="Bookman Old Style"/>
          <w:b/>
          <w:bCs/>
          <w:u w:val="single"/>
        </w:rPr>
        <w:t>Question 2</w:t>
      </w:r>
      <w:r w:rsidRPr="00A76FC5">
        <w:rPr>
          <w:rFonts w:ascii="Bookman Old Style" w:hAnsi="Bookman Old Style"/>
        </w:rPr>
        <w:t xml:space="preserve">: </w:t>
      </w:r>
      <w:r w:rsidRPr="00A76FC5">
        <w:rPr>
          <w:rFonts w:ascii="Bookman Old Style" w:hAnsi="Bookman Old Style"/>
          <w:b/>
          <w:bCs/>
        </w:rPr>
        <w:t>How can governance essentials be made measurable and enforceable across sectors? What outcome metrics and evidence standards should anchor these essentials (e.g., meaningful connectivity, affordability, accessibility, reliability, consumer harm reduction, market contestability), and how can reporting and observability models provide effective oversight proportionately and without excessive burden, across sectors?</w:t>
      </w:r>
    </w:p>
    <w:p w14:paraId="5071483F" w14:textId="77777777" w:rsidR="003375E7" w:rsidRDefault="003375E7" w:rsidP="000C3EEC">
      <w:pPr>
        <w:spacing w:after="0" w:line="240" w:lineRule="auto"/>
        <w:jc w:val="both"/>
        <w:rPr>
          <w:rFonts w:ascii="Bookman Old Style" w:hAnsi="Bookman Old Style"/>
          <w:b/>
          <w:bCs/>
        </w:rPr>
      </w:pPr>
    </w:p>
    <w:p w14:paraId="3D9E4B69" w14:textId="77777777" w:rsidR="003375E7" w:rsidRDefault="00487213" w:rsidP="003375E7">
      <w:pPr>
        <w:spacing w:after="0" w:line="240" w:lineRule="auto"/>
        <w:ind w:left="720" w:firstLine="720"/>
        <w:jc w:val="both"/>
        <w:rPr>
          <w:rFonts w:ascii="Bookman Old Style" w:hAnsi="Bookman Old Style"/>
        </w:rPr>
      </w:pPr>
      <w:r w:rsidRPr="003375E7">
        <w:rPr>
          <w:rFonts w:ascii="Bookman Old Style" w:hAnsi="Bookman Old Style"/>
        </w:rPr>
        <w:t>From the perspective of the Telecom Regulatory Authority of India (TRAI), governance in the broadcasting and telecommunications sectors must increasingly rely on measurable outcomes, data-driven oversight, and simplified regulatory frameworks. As digital networks converge and service delivery models evolve, traditional inspection-based regulatory approaches need to be complemented by structured reporting systems and automated monitoring mechanisms. Digital governance platforms enable regulators to monitor sector performance in near real time while reducing compliance friction for regulated entities.</w:t>
      </w:r>
    </w:p>
    <w:p w14:paraId="4ECEC3C6" w14:textId="77777777" w:rsidR="003375E7" w:rsidRPr="003375E7" w:rsidRDefault="003375E7" w:rsidP="003375E7">
      <w:pPr>
        <w:spacing w:after="0" w:line="240" w:lineRule="auto"/>
        <w:ind w:left="720" w:firstLine="720"/>
        <w:jc w:val="both"/>
        <w:rPr>
          <w:rFonts w:ascii="Bookman Old Style" w:hAnsi="Bookman Old Style"/>
        </w:rPr>
      </w:pPr>
    </w:p>
    <w:p w14:paraId="7CBFD548" w14:textId="77777777" w:rsidR="003375E7" w:rsidRPr="003375E7" w:rsidRDefault="00487213" w:rsidP="003375E7">
      <w:pPr>
        <w:spacing w:after="0" w:line="240" w:lineRule="auto"/>
        <w:ind w:left="720" w:firstLine="720"/>
        <w:jc w:val="both"/>
        <w:rPr>
          <w:rFonts w:ascii="Bookman Old Style" w:hAnsi="Bookman Old Style"/>
        </w:rPr>
      </w:pPr>
      <w:r w:rsidRPr="003375E7">
        <w:rPr>
          <w:rFonts w:ascii="Bookman Old Style" w:hAnsi="Bookman Old Style"/>
        </w:rPr>
        <w:t>A key element of this approach is the development of structured digital repositories and reporting frameworks covering multiple dimensions of sector performance. Online portals can facilitate periodic submission of data relating to ownership disclosures, tariff filings, revenue reporting, interconnection agreements, advertisement revenues, and audience measurement. Such reporting systems institutionalize transparency and help regulators track market trends, infrastructure deployment, and consumer outcomes. In practice, service providers furnish service-wise operational data, including subscription statistics for telephony access services—fixed wireline, fixed wireless, wireless mobility, and broadband—disaggregated by operator, geography, and technology. These datasets are supplemented with traffic and data usage analysis across urban and rural areas and are typically reported on monthly, quarterly, and annual cycles to support evidence-based regulation.</w:t>
      </w:r>
    </w:p>
    <w:p w14:paraId="4CF93F9E" w14:textId="77777777" w:rsidR="003375E7" w:rsidRDefault="003375E7" w:rsidP="003375E7">
      <w:pPr>
        <w:spacing w:after="0" w:line="240" w:lineRule="auto"/>
        <w:jc w:val="both"/>
        <w:rPr>
          <w:rFonts w:ascii="Bookman Old Style" w:hAnsi="Bookman Old Style"/>
        </w:rPr>
      </w:pPr>
    </w:p>
    <w:p w14:paraId="75CE7A71" w14:textId="0C6154F8" w:rsidR="003375E7" w:rsidRDefault="00487213" w:rsidP="00292805">
      <w:pPr>
        <w:spacing w:after="0" w:line="240" w:lineRule="auto"/>
        <w:ind w:left="720" w:firstLine="720"/>
        <w:jc w:val="both"/>
        <w:rPr>
          <w:rFonts w:ascii="Bookman Old Style" w:hAnsi="Bookman Old Style"/>
        </w:rPr>
      </w:pPr>
      <w:r w:rsidRPr="003375E7">
        <w:rPr>
          <w:rFonts w:ascii="Bookman Old Style" w:hAnsi="Bookman Old Style"/>
        </w:rPr>
        <w:t xml:space="preserve">Alongside service-level data, regulators also maintain network-level repositories capturing infrastructure deployment and performance indicators. These may include </w:t>
      </w:r>
      <w:r w:rsidR="00AC32AC" w:rsidRPr="00903E2A">
        <w:rPr>
          <w:rFonts w:ascii="Bookman Old Style" w:hAnsi="Bookman Old Style"/>
          <w:color w:val="EE0000"/>
        </w:rPr>
        <w:t xml:space="preserve">information on </w:t>
      </w:r>
      <w:r w:rsidRPr="003375E7">
        <w:rPr>
          <w:rFonts w:ascii="Bookman Old Style" w:hAnsi="Bookman Old Style"/>
        </w:rPr>
        <w:t>the location of network nodes such as exchanges, base stations, cable landing stations, and data centres, along with metrics on infrastructure capacity, utilization ratios, network outages, energy supply (including green energy), and access to shared infrastructure such as telecom ducts or street furniture. Such granular data allows regulators to assess network expansion, identify capacity gaps, and guide policy interventions aimed at improving connectivity</w:t>
      </w:r>
      <w:r w:rsidR="007A2B43">
        <w:rPr>
          <w:rFonts w:ascii="Bookman Old Style" w:hAnsi="Bookman Old Style"/>
        </w:rPr>
        <w:t xml:space="preserve">, </w:t>
      </w:r>
      <w:r w:rsidR="007A2B43" w:rsidRPr="007A2B43">
        <w:rPr>
          <w:rFonts w:ascii="Bookman Old Style" w:hAnsi="Bookman Old Style"/>
          <w:color w:val="EE0000"/>
        </w:rPr>
        <w:t>efficiency, and network</w:t>
      </w:r>
      <w:r w:rsidRPr="003375E7">
        <w:rPr>
          <w:rFonts w:ascii="Bookman Old Style" w:hAnsi="Bookman Old Style"/>
        </w:rPr>
        <w:t xml:space="preserve"> </w:t>
      </w:r>
      <w:r w:rsidRPr="007A2B43">
        <w:rPr>
          <w:rFonts w:ascii="Bookman Old Style" w:hAnsi="Bookman Old Style"/>
          <w:strike/>
        </w:rPr>
        <w:t>and</w:t>
      </w:r>
      <w:r w:rsidRPr="003375E7">
        <w:rPr>
          <w:rFonts w:ascii="Bookman Old Style" w:hAnsi="Bookman Old Style"/>
        </w:rPr>
        <w:t xml:space="preserve"> resilience.</w:t>
      </w:r>
    </w:p>
    <w:p w14:paraId="3949043A" w14:textId="77777777" w:rsidR="003375E7" w:rsidRPr="003375E7" w:rsidRDefault="003375E7" w:rsidP="003375E7">
      <w:pPr>
        <w:spacing w:after="0" w:line="240" w:lineRule="auto"/>
        <w:ind w:left="720" w:firstLine="720"/>
        <w:jc w:val="both"/>
        <w:rPr>
          <w:rFonts w:ascii="Bookman Old Style" w:hAnsi="Bookman Old Style"/>
        </w:rPr>
      </w:pPr>
    </w:p>
    <w:p w14:paraId="0D3C4514" w14:textId="77777777" w:rsidR="003375E7" w:rsidRDefault="00487213" w:rsidP="003375E7">
      <w:pPr>
        <w:spacing w:after="0" w:line="240" w:lineRule="auto"/>
        <w:ind w:left="720" w:firstLine="720"/>
        <w:jc w:val="both"/>
        <w:rPr>
          <w:rFonts w:ascii="Bookman Old Style" w:hAnsi="Bookman Old Style"/>
        </w:rPr>
      </w:pPr>
      <w:r w:rsidRPr="003375E7">
        <w:rPr>
          <w:rFonts w:ascii="Bookman Old Style" w:hAnsi="Bookman Old Style"/>
        </w:rPr>
        <w:t xml:space="preserve">To operationalize these policy objectives, regulators increasingly adopt balanced reporting and observability models. In India, TRAI relies on structured periodic reporting such as Performance Monitoring Reports (PMRs) submitted by service providers. These standardized formats enable continuous monitoring of service quality, </w:t>
      </w:r>
      <w:r w:rsidRPr="003375E7">
        <w:rPr>
          <w:rFonts w:ascii="Bookman Old Style" w:hAnsi="Bookman Old Style"/>
        </w:rPr>
        <w:lastRenderedPageBreak/>
        <w:t>market competition, and infrastructure deployment while ensuring that compliance requirements remain proportionate and do not impose excessive administrative burden. Technology-enabled reporting mechanisms—including automated submission through digital portals and Application Programming Interfaces (APIs)—facilitate efficient and accurate data sharing between operators and the regulator.</w:t>
      </w:r>
    </w:p>
    <w:p w14:paraId="01965007" w14:textId="77777777" w:rsidR="003375E7" w:rsidRPr="003375E7" w:rsidRDefault="003375E7" w:rsidP="003375E7">
      <w:pPr>
        <w:spacing w:after="0" w:line="240" w:lineRule="auto"/>
        <w:ind w:left="720" w:firstLine="720"/>
        <w:jc w:val="both"/>
        <w:rPr>
          <w:rFonts w:ascii="Bookman Old Style" w:hAnsi="Bookman Old Style"/>
        </w:rPr>
      </w:pPr>
    </w:p>
    <w:p w14:paraId="5C32C5D7" w14:textId="77777777" w:rsidR="003375E7" w:rsidRDefault="00487213" w:rsidP="003375E7">
      <w:pPr>
        <w:spacing w:after="0" w:line="240" w:lineRule="auto"/>
        <w:ind w:left="720" w:firstLine="720"/>
        <w:jc w:val="both"/>
        <w:rPr>
          <w:rFonts w:ascii="Bookman Old Style" w:hAnsi="Bookman Old Style"/>
        </w:rPr>
      </w:pPr>
      <w:r w:rsidRPr="003375E7">
        <w:rPr>
          <w:rFonts w:ascii="Bookman Old Style" w:hAnsi="Bookman Old Style"/>
        </w:rPr>
        <w:t>Observability is further strengthened through digital dashboards, analytics-based sectoral indicators, and automated compliance alerts, which allow regulators to identify emerging issues or risks without frequent ad-hoc information requests. To ensure the credibility of reported information, regulatory oversight is complemented by independent verification mechanisms, including audits of Performance Monitoring Reports and Independent Drive Tests (IDTs) conducted in different locations to assess network performance and service quality from the consumer perspective.</w:t>
      </w:r>
    </w:p>
    <w:p w14:paraId="63C908A8" w14:textId="77777777" w:rsidR="003375E7" w:rsidRPr="003375E7" w:rsidRDefault="003375E7" w:rsidP="003375E7">
      <w:pPr>
        <w:spacing w:after="0" w:line="240" w:lineRule="auto"/>
        <w:ind w:left="720" w:firstLine="720"/>
        <w:jc w:val="both"/>
        <w:rPr>
          <w:rFonts w:ascii="Bookman Old Style" w:hAnsi="Bookman Old Style"/>
        </w:rPr>
      </w:pPr>
    </w:p>
    <w:p w14:paraId="04A917FF" w14:textId="24B0A5FE" w:rsidR="003375E7" w:rsidRDefault="00487213" w:rsidP="00292805">
      <w:pPr>
        <w:spacing w:after="0" w:line="240" w:lineRule="auto"/>
        <w:ind w:left="720" w:firstLine="720"/>
        <w:jc w:val="both"/>
        <w:rPr>
          <w:rFonts w:ascii="Bookman Old Style" w:hAnsi="Bookman Old Style"/>
        </w:rPr>
      </w:pPr>
      <w:r w:rsidRPr="003375E7">
        <w:rPr>
          <w:rFonts w:ascii="Bookman Old Style" w:hAnsi="Bookman Old Style"/>
        </w:rPr>
        <w:t>Modern governance frameworks also incorporate Quality of Experience (QoE) indicators alongside network-level metrics. Consumer-facing digital tools such as the MySpeed application developed by TRAI enable users to measure and report their network performance. These crowd-sourced datasets provide valuable insights into actual consumer experience and complement operator-reported data, strengthening the regulator’s ability to detect service gaps and address consumer concerns.</w:t>
      </w:r>
    </w:p>
    <w:p w14:paraId="1C20B9B9" w14:textId="77777777" w:rsidR="003375E7" w:rsidRPr="003375E7" w:rsidRDefault="003375E7" w:rsidP="003375E7">
      <w:pPr>
        <w:spacing w:after="0" w:line="240" w:lineRule="auto"/>
        <w:ind w:left="720" w:firstLine="720"/>
        <w:jc w:val="both"/>
        <w:rPr>
          <w:rFonts w:ascii="Bookman Old Style" w:hAnsi="Bookman Old Style"/>
        </w:rPr>
      </w:pPr>
    </w:p>
    <w:p w14:paraId="660A43FD" w14:textId="77777777" w:rsidR="003375E7" w:rsidRPr="003375E7" w:rsidRDefault="00487213" w:rsidP="003375E7">
      <w:pPr>
        <w:spacing w:after="0" w:line="240" w:lineRule="auto"/>
        <w:ind w:left="720" w:firstLine="720"/>
        <w:jc w:val="both"/>
        <w:rPr>
          <w:rFonts w:ascii="Bookman Old Style" w:hAnsi="Bookman Old Style"/>
        </w:rPr>
      </w:pPr>
      <w:r w:rsidRPr="003375E7">
        <w:rPr>
          <w:rFonts w:ascii="Bookman Old Style" w:hAnsi="Bookman Old Style"/>
        </w:rPr>
        <w:t>The tariff framework represents another important dimension of measurable governance. Under the regulatory regime established under the Telecom Regulatory Authority of India Act, 1997, most telecommunications tariffs in India are under forbearance, allowing service providers flexibility to design tariffs based on market conditions and competition. This approach encourages innovation and efficiency while enabling regulatory oversight to safeguard consumer interests. According to 2024 data from the International Telecommunication Union, India offers some of the lowest mobile service prices globally, with a representative mobile basket costing about USD 1.86, demonstrating the effectiveness of a competitive and self-regulating ecosystem.</w:t>
      </w:r>
    </w:p>
    <w:p w14:paraId="3DF3AA72" w14:textId="77777777" w:rsidR="003375E7" w:rsidRDefault="003375E7" w:rsidP="003375E7">
      <w:pPr>
        <w:spacing w:after="0" w:line="240" w:lineRule="auto"/>
        <w:jc w:val="both"/>
        <w:rPr>
          <w:rFonts w:ascii="Bookman Old Style" w:hAnsi="Bookman Old Style"/>
        </w:rPr>
      </w:pPr>
    </w:p>
    <w:p w14:paraId="4431C892" w14:textId="77777777" w:rsidR="003375E7" w:rsidRDefault="003375E7" w:rsidP="003375E7">
      <w:pPr>
        <w:spacing w:after="0" w:line="240" w:lineRule="auto"/>
        <w:jc w:val="both"/>
        <w:rPr>
          <w:rFonts w:ascii="Bookman Old Style" w:hAnsi="Bookman Old Style"/>
        </w:rPr>
      </w:pPr>
    </w:p>
    <w:p w14:paraId="32DF1D26" w14:textId="47DEAA22" w:rsidR="003375E7" w:rsidRPr="003375E7" w:rsidRDefault="00487213" w:rsidP="003375E7">
      <w:pPr>
        <w:spacing w:after="0" w:line="240" w:lineRule="auto"/>
        <w:ind w:left="720" w:firstLine="720"/>
        <w:jc w:val="both"/>
        <w:rPr>
          <w:rFonts w:ascii="Bookman Old Style" w:hAnsi="Bookman Old Style"/>
        </w:rPr>
      </w:pPr>
      <w:r w:rsidRPr="003375E7">
        <w:rPr>
          <w:rFonts w:ascii="Bookman Old Style" w:hAnsi="Bookman Old Style"/>
        </w:rPr>
        <w:t>Looking ahead, governance frameworks across converged digital sectors should move toward single-window digital platforms for licensing, authorizations, and regulatory reporting across multiple agencies. Such systems can enhance inter-agency coordination, reduce administrative overhead, and improve regulatory predictability. Ultimately, measurable governance in broadcasting and telecommunications must be anchored in outcome-based metrics, evidence-driven standards, and proportionate digital oversight mechanisms, ensuring accountability while promoting innovation, competition, and public trust in evolving digital ecosystems.</w:t>
      </w:r>
    </w:p>
    <w:p w14:paraId="47119BD1" w14:textId="77777777" w:rsidR="003375E7" w:rsidRPr="00A76FC5" w:rsidRDefault="003375E7" w:rsidP="000C3EEC">
      <w:pPr>
        <w:spacing w:after="0" w:line="240" w:lineRule="auto"/>
        <w:jc w:val="both"/>
        <w:rPr>
          <w:rFonts w:ascii="Bookman Old Style" w:hAnsi="Bookman Old Style"/>
          <w:b/>
          <w:bCs/>
        </w:rPr>
      </w:pPr>
    </w:p>
    <w:p w14:paraId="23FF1D0E" w14:textId="77777777" w:rsidR="000C3EEC" w:rsidRDefault="000C3EEC" w:rsidP="000C3EEC">
      <w:pPr>
        <w:spacing w:after="0" w:line="240" w:lineRule="auto"/>
        <w:ind w:left="709" w:hanging="709"/>
        <w:rPr>
          <w:rFonts w:ascii="Bookman Old Style" w:hAnsi="Bookman Old Style"/>
          <w:b/>
          <w:bCs/>
          <w:szCs w:val="24"/>
          <w:u w:val="single"/>
        </w:rPr>
      </w:pPr>
    </w:p>
    <w:p w14:paraId="2342B69C" w14:textId="77777777" w:rsidR="003375E7" w:rsidRPr="00A76FC5" w:rsidRDefault="00487213" w:rsidP="003375E7">
      <w:pPr>
        <w:spacing w:after="0" w:line="240" w:lineRule="auto"/>
        <w:jc w:val="both"/>
        <w:rPr>
          <w:rFonts w:ascii="Bookman Old Style" w:hAnsi="Bookman Old Style" w:cs="Arial"/>
          <w:b/>
          <w:bCs/>
        </w:rPr>
      </w:pPr>
      <w:r w:rsidRPr="00A76FC5">
        <w:rPr>
          <w:rFonts w:ascii="Bookman Old Style" w:hAnsi="Bookman Old Style" w:cs="Arial"/>
          <w:b/>
          <w:bCs/>
          <w:u w:val="single"/>
        </w:rPr>
        <w:t>Question 3</w:t>
      </w:r>
      <w:r w:rsidRPr="00A76FC5">
        <w:rPr>
          <w:rFonts w:ascii="Bookman Old Style" w:hAnsi="Bookman Old Style" w:cs="Arial"/>
          <w:b/>
          <w:bCs/>
        </w:rPr>
        <w:t>: What should a predictable, graduated supervisory and enforcement pathway look like when risks rise or harms occur? How should regulators move from guidance and targeted remedies to more directive interventions, and how should the pathway be designed to ensure due process, cross-agency consistency, and clear criteria for scaling back measures when conditions improve?</w:t>
      </w:r>
    </w:p>
    <w:p w14:paraId="1589F30C" w14:textId="77777777" w:rsidR="000C3EEC" w:rsidRDefault="000C3EEC" w:rsidP="000C3EEC">
      <w:pPr>
        <w:spacing w:after="0" w:line="240" w:lineRule="auto"/>
        <w:ind w:left="709" w:hanging="709"/>
        <w:jc w:val="both"/>
        <w:rPr>
          <w:rFonts w:ascii="Bookman Old Style" w:hAnsi="Bookman Old Style"/>
          <w:b/>
          <w:bCs/>
          <w:szCs w:val="24"/>
          <w:u w:val="single"/>
        </w:rPr>
      </w:pPr>
    </w:p>
    <w:p w14:paraId="13E07BA6" w14:textId="04FB4A03" w:rsidR="003375E7" w:rsidRPr="003375E7" w:rsidRDefault="00487213" w:rsidP="006C5CC7">
      <w:pPr>
        <w:spacing w:after="0" w:line="240" w:lineRule="auto"/>
        <w:ind w:left="720" w:firstLine="720"/>
        <w:jc w:val="both"/>
        <w:rPr>
          <w:rFonts w:ascii="Bookman Old Style" w:hAnsi="Bookman Old Style"/>
          <w:szCs w:val="24"/>
        </w:rPr>
      </w:pPr>
      <w:r w:rsidRPr="003375E7">
        <w:rPr>
          <w:rFonts w:ascii="Bookman Old Style" w:hAnsi="Bookman Old Style"/>
          <w:szCs w:val="24"/>
        </w:rPr>
        <w:t>A predictable and graduated supervisory and enforcement pathway is essential for fostering investment confidence, regulatory trust, and stability in rapidly evolving digital communications ecosystems. Such a framework should be anchored in risk-proportionate, data-driven oversight, allowing regulators to intervene progressively as risks escalate while ensuring transparency, due process, and regulatory certainty. Rather than relying on abrupt or purely punitive enforcement actions, an effective supervisory pathway combines structured monitoring, stakeholder engagement, and clearly defined escalation and de-escalation mechanisms.</w:t>
      </w:r>
    </w:p>
    <w:p w14:paraId="01DCEE66" w14:textId="77777777" w:rsidR="003375E7" w:rsidRDefault="003375E7" w:rsidP="003375E7">
      <w:pPr>
        <w:spacing w:after="0" w:line="240" w:lineRule="auto"/>
        <w:ind w:left="709" w:hanging="709"/>
        <w:jc w:val="both"/>
        <w:rPr>
          <w:rFonts w:ascii="Bookman Old Style" w:hAnsi="Bookman Old Style"/>
          <w:szCs w:val="24"/>
        </w:rPr>
      </w:pPr>
    </w:p>
    <w:p w14:paraId="25F456F0" w14:textId="357C6FE2" w:rsidR="003375E7" w:rsidRPr="003375E7" w:rsidRDefault="00487213" w:rsidP="003375E7">
      <w:pPr>
        <w:spacing w:after="0" w:line="240" w:lineRule="auto"/>
        <w:ind w:left="720" w:firstLine="720"/>
        <w:jc w:val="both"/>
        <w:rPr>
          <w:rFonts w:ascii="Bookman Old Style" w:hAnsi="Bookman Old Style"/>
          <w:szCs w:val="24"/>
        </w:rPr>
      </w:pPr>
      <w:r w:rsidRPr="003375E7">
        <w:rPr>
          <w:rFonts w:ascii="Bookman Old Style" w:hAnsi="Bookman Old Style"/>
          <w:szCs w:val="24"/>
        </w:rPr>
        <w:lastRenderedPageBreak/>
        <w:t>Where risks escalate or non-compliance persists, the regulatory framework should enable graduated enforcement measures. Initial responses may include advisory notices, corrective directions, or compliance improvement plans designed to facilitate remediation and restore compliance. Where violations continue or harms become more significant, regulators may impose proportionate financial disincentives or targeted regulatory directions. For example, graded financial disincentive mechanisms linked to service quality performance can incentivize timely corrective action while maintaining regulatory fairness. More directive interventions—such as binding orders, license conditions, or suspension of specific rights—should be reserved for situations where risks are substantial or persistent. Equally important are clear de-escalation mechanisms, enabling supervisory intensity to be reduced when service providers demonstrate sustained and verified compliance.</w:t>
      </w:r>
    </w:p>
    <w:p w14:paraId="3D7978C2" w14:textId="77777777" w:rsidR="003375E7" w:rsidRDefault="003375E7" w:rsidP="003375E7">
      <w:pPr>
        <w:spacing w:after="0" w:line="240" w:lineRule="auto"/>
        <w:ind w:left="709" w:hanging="709"/>
        <w:jc w:val="both"/>
        <w:rPr>
          <w:rFonts w:ascii="Bookman Old Style" w:hAnsi="Bookman Old Style"/>
          <w:szCs w:val="24"/>
        </w:rPr>
      </w:pPr>
    </w:p>
    <w:p w14:paraId="4A27100D" w14:textId="19E84DF5" w:rsidR="003375E7" w:rsidRPr="003375E7" w:rsidRDefault="00487213" w:rsidP="008158B6">
      <w:pPr>
        <w:spacing w:after="0" w:line="240" w:lineRule="auto"/>
        <w:ind w:left="720" w:firstLine="720"/>
        <w:jc w:val="both"/>
        <w:rPr>
          <w:rFonts w:ascii="Bookman Old Style" w:hAnsi="Bookman Old Style"/>
          <w:szCs w:val="24"/>
        </w:rPr>
      </w:pPr>
      <w:r w:rsidRPr="003375E7">
        <w:rPr>
          <w:rFonts w:ascii="Bookman Old Style" w:hAnsi="Bookman Old Style"/>
          <w:szCs w:val="24"/>
        </w:rPr>
        <w:t>A well-designed supervisory framework must also address critical regulatory functions that safeguard public interest and market integrity. These include managing emergency communications</w:t>
      </w:r>
      <w:r w:rsidR="0010477F">
        <w:rPr>
          <w:rFonts w:ascii="Bookman Old Style" w:hAnsi="Bookman Old Style"/>
          <w:szCs w:val="24"/>
        </w:rPr>
        <w:t xml:space="preserve"> </w:t>
      </w:r>
      <w:r w:rsidR="0010477F" w:rsidRPr="0010477F">
        <w:rPr>
          <w:rFonts w:ascii="Bookman Old Style" w:hAnsi="Bookman Old Style"/>
          <w:color w:val="EE0000"/>
          <w:szCs w:val="24"/>
        </w:rPr>
        <w:t>and</w:t>
      </w:r>
      <w:r w:rsidRPr="003375E7">
        <w:rPr>
          <w:rFonts w:ascii="Bookman Old Style" w:hAnsi="Bookman Old Style"/>
          <w:szCs w:val="24"/>
        </w:rPr>
        <w:t xml:space="preserve"> ensuring preparedness to deploy appropriate technologies and protocols for mass alerts and emergency assistance systems for distressed individuals. Competition management is equally important, requiring both ex-ante and ex-post measures to monitor market concentration, mergers and acquisitions, and </w:t>
      </w:r>
      <w:proofErr w:type="gramStart"/>
      <w:r w:rsidRPr="003375E7">
        <w:rPr>
          <w:rFonts w:ascii="Bookman Old Style" w:hAnsi="Bookman Old Style"/>
          <w:szCs w:val="24"/>
        </w:rPr>
        <w:t>cross-holdings</w:t>
      </w:r>
      <w:proofErr w:type="gramEnd"/>
      <w:r w:rsidRPr="003375E7">
        <w:rPr>
          <w:rFonts w:ascii="Bookman Old Style" w:hAnsi="Bookman Old Style"/>
          <w:szCs w:val="24"/>
        </w:rPr>
        <w:t xml:space="preserve"> to prevent appreciable adverse effects on competition. In addition, regulators should maintain graded compliance enforcement mechanisms, issue regulatory directions aligned with established principles when intervention is </w:t>
      </w:r>
      <w:proofErr w:type="gramStart"/>
      <w:r w:rsidR="00DF5122" w:rsidRPr="003375E7">
        <w:rPr>
          <w:rFonts w:ascii="Bookman Old Style" w:hAnsi="Bookman Old Style"/>
          <w:szCs w:val="24"/>
        </w:rPr>
        <w:t>necessary</w:t>
      </w:r>
      <w:r w:rsidR="00DF5122">
        <w:rPr>
          <w:rFonts w:ascii="Bookman Old Style" w:hAnsi="Bookman Old Style"/>
          <w:szCs w:val="24"/>
        </w:rPr>
        <w:t>,</w:t>
      </w:r>
      <w:r w:rsidR="00DF5122" w:rsidRPr="003375E7">
        <w:rPr>
          <w:rFonts w:ascii="Bookman Old Style" w:hAnsi="Bookman Old Style"/>
          <w:szCs w:val="24"/>
        </w:rPr>
        <w:t xml:space="preserve"> and</w:t>
      </w:r>
      <w:proofErr w:type="gramEnd"/>
      <w:r w:rsidRPr="003375E7">
        <w:rPr>
          <w:rFonts w:ascii="Bookman Old Style" w:hAnsi="Bookman Old Style"/>
          <w:szCs w:val="24"/>
        </w:rPr>
        <w:t xml:space="preserve"> provide streamlined dispute resolution through statutory adjudication frameworks grounded in the rule of law.</w:t>
      </w:r>
      <w:r w:rsidR="00EF03D4">
        <w:rPr>
          <w:rFonts w:ascii="Bookman Old Style" w:hAnsi="Bookman Old Style"/>
          <w:szCs w:val="24"/>
        </w:rPr>
        <w:tab/>
      </w:r>
    </w:p>
    <w:p w14:paraId="768E494C" w14:textId="77777777" w:rsidR="003375E7" w:rsidRDefault="003375E7" w:rsidP="003375E7">
      <w:pPr>
        <w:spacing w:after="0" w:line="240" w:lineRule="auto"/>
        <w:ind w:left="709" w:hanging="709"/>
        <w:jc w:val="both"/>
        <w:rPr>
          <w:rFonts w:ascii="Bookman Old Style" w:hAnsi="Bookman Old Style"/>
          <w:szCs w:val="24"/>
        </w:rPr>
      </w:pPr>
    </w:p>
    <w:p w14:paraId="579F9A3D" w14:textId="6B6E03A2" w:rsidR="003375E7" w:rsidRPr="003375E7" w:rsidRDefault="00487213" w:rsidP="003375E7">
      <w:pPr>
        <w:spacing w:after="0" w:line="240" w:lineRule="auto"/>
        <w:ind w:left="720" w:firstLine="720"/>
        <w:jc w:val="both"/>
        <w:rPr>
          <w:rFonts w:ascii="Bookman Old Style" w:hAnsi="Bookman Old Style"/>
          <w:szCs w:val="24"/>
        </w:rPr>
      </w:pPr>
      <w:r w:rsidRPr="003375E7">
        <w:rPr>
          <w:rFonts w:ascii="Bookman Old Style" w:hAnsi="Bookman Old Style"/>
          <w:szCs w:val="24"/>
        </w:rPr>
        <w:t>Ultimately, a robust supervisory pathway should integrate graduated enforcement, due process safeguards, collaborative regulation, and international coordination, ensuring that regulatory interventions remain predictable, proportionate, and responsive while safeguarding consumer interests and supporting resilient digital communications networks.</w:t>
      </w:r>
    </w:p>
    <w:p w14:paraId="6808890F" w14:textId="77777777" w:rsidR="003375E7" w:rsidRPr="00A76FC5" w:rsidRDefault="003375E7" w:rsidP="000C3EEC">
      <w:pPr>
        <w:spacing w:after="0" w:line="240" w:lineRule="auto"/>
        <w:ind w:left="709" w:hanging="709"/>
        <w:jc w:val="both"/>
        <w:rPr>
          <w:rFonts w:ascii="Bookman Old Style" w:hAnsi="Bookman Old Style"/>
          <w:b/>
          <w:bCs/>
          <w:szCs w:val="24"/>
          <w:u w:val="single"/>
        </w:rPr>
      </w:pPr>
    </w:p>
    <w:sectPr w:rsidR="003375E7" w:rsidRPr="00A76FC5" w:rsidSect="003E03B8">
      <w:pgSz w:w="11906" w:h="16838" w:code="9"/>
      <w:pgMar w:top="284" w:right="566" w:bottom="142" w:left="567" w:header="709" w:footer="709" w:gutter="0"/>
      <w:pgNumType w:start="1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C93"/>
    <w:multiLevelType w:val="hybridMultilevel"/>
    <w:tmpl w:val="20C46736"/>
    <w:lvl w:ilvl="0" w:tplc="70A4DEFC">
      <w:start w:val="1"/>
      <w:numFmt w:val="lowerRoman"/>
      <w:lvlText w:val="(%1)"/>
      <w:lvlJc w:val="left"/>
      <w:pPr>
        <w:ind w:left="1080" w:hanging="720"/>
      </w:pPr>
      <w:rPr>
        <w:rFonts w:hint="default"/>
      </w:rPr>
    </w:lvl>
    <w:lvl w:ilvl="1" w:tplc="E3A2820A" w:tentative="1">
      <w:start w:val="1"/>
      <w:numFmt w:val="lowerLetter"/>
      <w:lvlText w:val="%2."/>
      <w:lvlJc w:val="left"/>
      <w:pPr>
        <w:ind w:left="1440" w:hanging="360"/>
      </w:pPr>
    </w:lvl>
    <w:lvl w:ilvl="2" w:tplc="4A4800E6" w:tentative="1">
      <w:start w:val="1"/>
      <w:numFmt w:val="lowerRoman"/>
      <w:lvlText w:val="%3."/>
      <w:lvlJc w:val="right"/>
      <w:pPr>
        <w:ind w:left="2160" w:hanging="180"/>
      </w:pPr>
    </w:lvl>
    <w:lvl w:ilvl="3" w:tplc="DE9492B2" w:tentative="1">
      <w:start w:val="1"/>
      <w:numFmt w:val="decimal"/>
      <w:lvlText w:val="%4."/>
      <w:lvlJc w:val="left"/>
      <w:pPr>
        <w:ind w:left="2880" w:hanging="360"/>
      </w:pPr>
    </w:lvl>
    <w:lvl w:ilvl="4" w:tplc="415020A4" w:tentative="1">
      <w:start w:val="1"/>
      <w:numFmt w:val="lowerLetter"/>
      <w:lvlText w:val="%5."/>
      <w:lvlJc w:val="left"/>
      <w:pPr>
        <w:ind w:left="3600" w:hanging="360"/>
      </w:pPr>
    </w:lvl>
    <w:lvl w:ilvl="5" w:tplc="83143ABC" w:tentative="1">
      <w:start w:val="1"/>
      <w:numFmt w:val="lowerRoman"/>
      <w:lvlText w:val="%6."/>
      <w:lvlJc w:val="right"/>
      <w:pPr>
        <w:ind w:left="4320" w:hanging="180"/>
      </w:pPr>
    </w:lvl>
    <w:lvl w:ilvl="6" w:tplc="BAEA4D62" w:tentative="1">
      <w:start w:val="1"/>
      <w:numFmt w:val="decimal"/>
      <w:lvlText w:val="%7."/>
      <w:lvlJc w:val="left"/>
      <w:pPr>
        <w:ind w:left="5040" w:hanging="360"/>
      </w:pPr>
    </w:lvl>
    <w:lvl w:ilvl="7" w:tplc="24C86336" w:tentative="1">
      <w:start w:val="1"/>
      <w:numFmt w:val="lowerLetter"/>
      <w:lvlText w:val="%8."/>
      <w:lvlJc w:val="left"/>
      <w:pPr>
        <w:ind w:left="5760" w:hanging="360"/>
      </w:pPr>
    </w:lvl>
    <w:lvl w:ilvl="8" w:tplc="A1245B3E" w:tentative="1">
      <w:start w:val="1"/>
      <w:numFmt w:val="lowerRoman"/>
      <w:lvlText w:val="%9."/>
      <w:lvlJc w:val="right"/>
      <w:pPr>
        <w:ind w:left="6480" w:hanging="180"/>
      </w:pPr>
    </w:lvl>
  </w:abstractNum>
  <w:abstractNum w:abstractNumId="1" w15:restartNumberingAfterBreak="0">
    <w:nsid w:val="114236CD"/>
    <w:multiLevelType w:val="hybridMultilevel"/>
    <w:tmpl w:val="2DA681CC"/>
    <w:lvl w:ilvl="0" w:tplc="A6964554">
      <w:start w:val="1"/>
      <w:numFmt w:val="lowerRoman"/>
      <w:lvlText w:val="(%1)"/>
      <w:lvlJc w:val="left"/>
      <w:pPr>
        <w:ind w:left="1080" w:hanging="720"/>
      </w:pPr>
      <w:rPr>
        <w:rFonts w:hint="default"/>
        <w:b w:val="0"/>
        <w:bCs/>
      </w:rPr>
    </w:lvl>
    <w:lvl w:ilvl="1" w:tplc="30E8A9DE" w:tentative="1">
      <w:start w:val="1"/>
      <w:numFmt w:val="lowerLetter"/>
      <w:lvlText w:val="%2."/>
      <w:lvlJc w:val="left"/>
      <w:pPr>
        <w:ind w:left="1440" w:hanging="360"/>
      </w:pPr>
    </w:lvl>
    <w:lvl w:ilvl="2" w:tplc="3D9E5E12" w:tentative="1">
      <w:start w:val="1"/>
      <w:numFmt w:val="lowerRoman"/>
      <w:lvlText w:val="%3."/>
      <w:lvlJc w:val="right"/>
      <w:pPr>
        <w:ind w:left="2160" w:hanging="180"/>
      </w:pPr>
    </w:lvl>
    <w:lvl w:ilvl="3" w:tplc="3A4E0CA6" w:tentative="1">
      <w:start w:val="1"/>
      <w:numFmt w:val="decimal"/>
      <w:lvlText w:val="%4."/>
      <w:lvlJc w:val="left"/>
      <w:pPr>
        <w:ind w:left="2880" w:hanging="360"/>
      </w:pPr>
    </w:lvl>
    <w:lvl w:ilvl="4" w:tplc="BAEC8BFE" w:tentative="1">
      <w:start w:val="1"/>
      <w:numFmt w:val="lowerLetter"/>
      <w:lvlText w:val="%5."/>
      <w:lvlJc w:val="left"/>
      <w:pPr>
        <w:ind w:left="3600" w:hanging="360"/>
      </w:pPr>
    </w:lvl>
    <w:lvl w:ilvl="5" w:tplc="FF004878" w:tentative="1">
      <w:start w:val="1"/>
      <w:numFmt w:val="lowerRoman"/>
      <w:lvlText w:val="%6."/>
      <w:lvlJc w:val="right"/>
      <w:pPr>
        <w:ind w:left="4320" w:hanging="180"/>
      </w:pPr>
    </w:lvl>
    <w:lvl w:ilvl="6" w:tplc="A9906932" w:tentative="1">
      <w:start w:val="1"/>
      <w:numFmt w:val="decimal"/>
      <w:lvlText w:val="%7."/>
      <w:lvlJc w:val="left"/>
      <w:pPr>
        <w:ind w:left="5040" w:hanging="360"/>
      </w:pPr>
    </w:lvl>
    <w:lvl w:ilvl="7" w:tplc="2322349E" w:tentative="1">
      <w:start w:val="1"/>
      <w:numFmt w:val="lowerLetter"/>
      <w:lvlText w:val="%8."/>
      <w:lvlJc w:val="left"/>
      <w:pPr>
        <w:ind w:left="5760" w:hanging="360"/>
      </w:pPr>
    </w:lvl>
    <w:lvl w:ilvl="8" w:tplc="EF16DC62" w:tentative="1">
      <w:start w:val="1"/>
      <w:numFmt w:val="lowerRoman"/>
      <w:lvlText w:val="%9."/>
      <w:lvlJc w:val="right"/>
      <w:pPr>
        <w:ind w:left="6480" w:hanging="180"/>
      </w:pPr>
    </w:lvl>
  </w:abstractNum>
  <w:abstractNum w:abstractNumId="2" w15:restartNumberingAfterBreak="0">
    <w:nsid w:val="4A7830E7"/>
    <w:multiLevelType w:val="hybridMultilevel"/>
    <w:tmpl w:val="9BBCF7D4"/>
    <w:lvl w:ilvl="0" w:tplc="BC2A3E26">
      <w:start w:val="1"/>
      <w:numFmt w:val="bullet"/>
      <w:lvlText w:val=""/>
      <w:lvlJc w:val="left"/>
      <w:pPr>
        <w:ind w:left="1854" w:hanging="360"/>
      </w:pPr>
      <w:rPr>
        <w:rFonts w:ascii="Symbol" w:hAnsi="Symbol" w:hint="default"/>
      </w:rPr>
    </w:lvl>
    <w:lvl w:ilvl="1" w:tplc="C9821E7E">
      <w:start w:val="1"/>
      <w:numFmt w:val="bullet"/>
      <w:lvlText w:val="o"/>
      <w:lvlJc w:val="left"/>
      <w:pPr>
        <w:ind w:left="2574" w:hanging="360"/>
      </w:pPr>
      <w:rPr>
        <w:rFonts w:ascii="Courier New" w:hAnsi="Courier New" w:cs="Courier New" w:hint="default"/>
      </w:rPr>
    </w:lvl>
    <w:lvl w:ilvl="2" w:tplc="2BDE4A48" w:tentative="1">
      <w:start w:val="1"/>
      <w:numFmt w:val="bullet"/>
      <w:lvlText w:val=""/>
      <w:lvlJc w:val="left"/>
      <w:pPr>
        <w:ind w:left="3294" w:hanging="360"/>
      </w:pPr>
      <w:rPr>
        <w:rFonts w:ascii="Wingdings" w:hAnsi="Wingdings" w:hint="default"/>
      </w:rPr>
    </w:lvl>
    <w:lvl w:ilvl="3" w:tplc="2C0890C2" w:tentative="1">
      <w:start w:val="1"/>
      <w:numFmt w:val="bullet"/>
      <w:lvlText w:val=""/>
      <w:lvlJc w:val="left"/>
      <w:pPr>
        <w:ind w:left="4014" w:hanging="360"/>
      </w:pPr>
      <w:rPr>
        <w:rFonts w:ascii="Symbol" w:hAnsi="Symbol" w:hint="default"/>
      </w:rPr>
    </w:lvl>
    <w:lvl w:ilvl="4" w:tplc="F3162938" w:tentative="1">
      <w:start w:val="1"/>
      <w:numFmt w:val="bullet"/>
      <w:lvlText w:val="o"/>
      <w:lvlJc w:val="left"/>
      <w:pPr>
        <w:ind w:left="4734" w:hanging="360"/>
      </w:pPr>
      <w:rPr>
        <w:rFonts w:ascii="Courier New" w:hAnsi="Courier New" w:cs="Courier New" w:hint="default"/>
      </w:rPr>
    </w:lvl>
    <w:lvl w:ilvl="5" w:tplc="B2D2969A" w:tentative="1">
      <w:start w:val="1"/>
      <w:numFmt w:val="bullet"/>
      <w:lvlText w:val=""/>
      <w:lvlJc w:val="left"/>
      <w:pPr>
        <w:ind w:left="5454" w:hanging="360"/>
      </w:pPr>
      <w:rPr>
        <w:rFonts w:ascii="Wingdings" w:hAnsi="Wingdings" w:hint="default"/>
      </w:rPr>
    </w:lvl>
    <w:lvl w:ilvl="6" w:tplc="4058ED7C" w:tentative="1">
      <w:start w:val="1"/>
      <w:numFmt w:val="bullet"/>
      <w:lvlText w:val=""/>
      <w:lvlJc w:val="left"/>
      <w:pPr>
        <w:ind w:left="6174" w:hanging="360"/>
      </w:pPr>
      <w:rPr>
        <w:rFonts w:ascii="Symbol" w:hAnsi="Symbol" w:hint="default"/>
      </w:rPr>
    </w:lvl>
    <w:lvl w:ilvl="7" w:tplc="4E0C947A" w:tentative="1">
      <w:start w:val="1"/>
      <w:numFmt w:val="bullet"/>
      <w:lvlText w:val="o"/>
      <w:lvlJc w:val="left"/>
      <w:pPr>
        <w:ind w:left="6894" w:hanging="360"/>
      </w:pPr>
      <w:rPr>
        <w:rFonts w:ascii="Courier New" w:hAnsi="Courier New" w:cs="Courier New" w:hint="default"/>
      </w:rPr>
    </w:lvl>
    <w:lvl w:ilvl="8" w:tplc="AD8C853C" w:tentative="1">
      <w:start w:val="1"/>
      <w:numFmt w:val="bullet"/>
      <w:lvlText w:val=""/>
      <w:lvlJc w:val="left"/>
      <w:pPr>
        <w:ind w:left="7614" w:hanging="360"/>
      </w:pPr>
      <w:rPr>
        <w:rFonts w:ascii="Wingdings" w:hAnsi="Wingdings" w:hint="default"/>
      </w:rPr>
    </w:lvl>
  </w:abstractNum>
  <w:abstractNum w:abstractNumId="3" w15:restartNumberingAfterBreak="0">
    <w:nsid w:val="4E6127B2"/>
    <w:multiLevelType w:val="hybridMultilevel"/>
    <w:tmpl w:val="07746C36"/>
    <w:lvl w:ilvl="0" w:tplc="CDF26168">
      <w:start w:val="1"/>
      <w:numFmt w:val="lowerRoman"/>
      <w:lvlText w:val="(%1)"/>
      <w:lvlJc w:val="left"/>
      <w:pPr>
        <w:ind w:left="1440" w:hanging="720"/>
      </w:pPr>
      <w:rPr>
        <w:rFonts w:hint="default"/>
      </w:rPr>
    </w:lvl>
    <w:lvl w:ilvl="1" w:tplc="4030BC3A" w:tentative="1">
      <w:start w:val="1"/>
      <w:numFmt w:val="lowerLetter"/>
      <w:lvlText w:val="%2."/>
      <w:lvlJc w:val="left"/>
      <w:pPr>
        <w:ind w:left="1800" w:hanging="360"/>
      </w:pPr>
    </w:lvl>
    <w:lvl w:ilvl="2" w:tplc="B5B44FAE" w:tentative="1">
      <w:start w:val="1"/>
      <w:numFmt w:val="lowerRoman"/>
      <w:lvlText w:val="%3."/>
      <w:lvlJc w:val="right"/>
      <w:pPr>
        <w:ind w:left="2520" w:hanging="180"/>
      </w:pPr>
    </w:lvl>
    <w:lvl w:ilvl="3" w:tplc="55D2CE7A" w:tentative="1">
      <w:start w:val="1"/>
      <w:numFmt w:val="decimal"/>
      <w:lvlText w:val="%4."/>
      <w:lvlJc w:val="left"/>
      <w:pPr>
        <w:ind w:left="3240" w:hanging="360"/>
      </w:pPr>
    </w:lvl>
    <w:lvl w:ilvl="4" w:tplc="94E23824" w:tentative="1">
      <w:start w:val="1"/>
      <w:numFmt w:val="lowerLetter"/>
      <w:lvlText w:val="%5."/>
      <w:lvlJc w:val="left"/>
      <w:pPr>
        <w:ind w:left="3960" w:hanging="360"/>
      </w:pPr>
    </w:lvl>
    <w:lvl w:ilvl="5" w:tplc="11462A70" w:tentative="1">
      <w:start w:val="1"/>
      <w:numFmt w:val="lowerRoman"/>
      <w:lvlText w:val="%6."/>
      <w:lvlJc w:val="right"/>
      <w:pPr>
        <w:ind w:left="4680" w:hanging="180"/>
      </w:pPr>
    </w:lvl>
    <w:lvl w:ilvl="6" w:tplc="57224516" w:tentative="1">
      <w:start w:val="1"/>
      <w:numFmt w:val="decimal"/>
      <w:lvlText w:val="%7."/>
      <w:lvlJc w:val="left"/>
      <w:pPr>
        <w:ind w:left="5400" w:hanging="360"/>
      </w:pPr>
    </w:lvl>
    <w:lvl w:ilvl="7" w:tplc="D2C0CAB2" w:tentative="1">
      <w:start w:val="1"/>
      <w:numFmt w:val="lowerLetter"/>
      <w:lvlText w:val="%8."/>
      <w:lvlJc w:val="left"/>
      <w:pPr>
        <w:ind w:left="6120" w:hanging="360"/>
      </w:pPr>
    </w:lvl>
    <w:lvl w:ilvl="8" w:tplc="BEB4AC0C" w:tentative="1">
      <w:start w:val="1"/>
      <w:numFmt w:val="lowerRoman"/>
      <w:lvlText w:val="%9."/>
      <w:lvlJc w:val="right"/>
      <w:pPr>
        <w:ind w:left="6840" w:hanging="180"/>
      </w:pPr>
    </w:lvl>
  </w:abstractNum>
  <w:abstractNum w:abstractNumId="4" w15:restartNumberingAfterBreak="0">
    <w:nsid w:val="6B40349F"/>
    <w:multiLevelType w:val="hybridMultilevel"/>
    <w:tmpl w:val="EAE057D4"/>
    <w:lvl w:ilvl="0" w:tplc="26807798">
      <w:start w:val="1"/>
      <w:numFmt w:val="bullet"/>
      <w:lvlText w:val=""/>
      <w:lvlJc w:val="left"/>
      <w:pPr>
        <w:ind w:left="1620" w:hanging="360"/>
      </w:pPr>
      <w:rPr>
        <w:rFonts w:ascii="Symbol" w:hAnsi="Symbol" w:hint="default"/>
      </w:rPr>
    </w:lvl>
    <w:lvl w:ilvl="1" w:tplc="66D20D1A">
      <w:start w:val="1"/>
      <w:numFmt w:val="bullet"/>
      <w:lvlText w:val="o"/>
      <w:lvlJc w:val="left"/>
      <w:pPr>
        <w:ind w:left="2340" w:hanging="360"/>
      </w:pPr>
      <w:rPr>
        <w:rFonts w:ascii="Courier New" w:hAnsi="Courier New" w:cs="Courier New" w:hint="default"/>
      </w:rPr>
    </w:lvl>
    <w:lvl w:ilvl="2" w:tplc="24F2DE4C" w:tentative="1">
      <w:start w:val="1"/>
      <w:numFmt w:val="bullet"/>
      <w:lvlText w:val=""/>
      <w:lvlJc w:val="left"/>
      <w:pPr>
        <w:ind w:left="3060" w:hanging="360"/>
      </w:pPr>
      <w:rPr>
        <w:rFonts w:ascii="Wingdings" w:hAnsi="Wingdings" w:hint="default"/>
      </w:rPr>
    </w:lvl>
    <w:lvl w:ilvl="3" w:tplc="C3320442" w:tentative="1">
      <w:start w:val="1"/>
      <w:numFmt w:val="bullet"/>
      <w:lvlText w:val=""/>
      <w:lvlJc w:val="left"/>
      <w:pPr>
        <w:ind w:left="3780" w:hanging="360"/>
      </w:pPr>
      <w:rPr>
        <w:rFonts w:ascii="Symbol" w:hAnsi="Symbol" w:hint="default"/>
      </w:rPr>
    </w:lvl>
    <w:lvl w:ilvl="4" w:tplc="A2668C44" w:tentative="1">
      <w:start w:val="1"/>
      <w:numFmt w:val="bullet"/>
      <w:lvlText w:val="o"/>
      <w:lvlJc w:val="left"/>
      <w:pPr>
        <w:ind w:left="4500" w:hanging="360"/>
      </w:pPr>
      <w:rPr>
        <w:rFonts w:ascii="Courier New" w:hAnsi="Courier New" w:cs="Courier New" w:hint="default"/>
      </w:rPr>
    </w:lvl>
    <w:lvl w:ilvl="5" w:tplc="7E34F93E" w:tentative="1">
      <w:start w:val="1"/>
      <w:numFmt w:val="bullet"/>
      <w:lvlText w:val=""/>
      <w:lvlJc w:val="left"/>
      <w:pPr>
        <w:ind w:left="5220" w:hanging="360"/>
      </w:pPr>
      <w:rPr>
        <w:rFonts w:ascii="Wingdings" w:hAnsi="Wingdings" w:hint="default"/>
      </w:rPr>
    </w:lvl>
    <w:lvl w:ilvl="6" w:tplc="7B1C47D8" w:tentative="1">
      <w:start w:val="1"/>
      <w:numFmt w:val="bullet"/>
      <w:lvlText w:val=""/>
      <w:lvlJc w:val="left"/>
      <w:pPr>
        <w:ind w:left="5940" w:hanging="360"/>
      </w:pPr>
      <w:rPr>
        <w:rFonts w:ascii="Symbol" w:hAnsi="Symbol" w:hint="default"/>
      </w:rPr>
    </w:lvl>
    <w:lvl w:ilvl="7" w:tplc="A5BA41E0" w:tentative="1">
      <w:start w:val="1"/>
      <w:numFmt w:val="bullet"/>
      <w:lvlText w:val="o"/>
      <w:lvlJc w:val="left"/>
      <w:pPr>
        <w:ind w:left="6660" w:hanging="360"/>
      </w:pPr>
      <w:rPr>
        <w:rFonts w:ascii="Courier New" w:hAnsi="Courier New" w:cs="Courier New" w:hint="default"/>
      </w:rPr>
    </w:lvl>
    <w:lvl w:ilvl="8" w:tplc="9B905556" w:tentative="1">
      <w:start w:val="1"/>
      <w:numFmt w:val="bullet"/>
      <w:lvlText w:val=""/>
      <w:lvlJc w:val="left"/>
      <w:pPr>
        <w:ind w:left="7380" w:hanging="360"/>
      </w:pPr>
      <w:rPr>
        <w:rFonts w:ascii="Wingdings" w:hAnsi="Wingdings" w:hint="default"/>
      </w:rPr>
    </w:lvl>
  </w:abstractNum>
  <w:abstractNum w:abstractNumId="5" w15:restartNumberingAfterBreak="0">
    <w:nsid w:val="7DAF7C88"/>
    <w:multiLevelType w:val="hybridMultilevel"/>
    <w:tmpl w:val="992A560E"/>
    <w:lvl w:ilvl="0" w:tplc="DE224186">
      <w:start w:val="1"/>
      <w:numFmt w:val="bullet"/>
      <w:lvlText w:val=""/>
      <w:lvlJc w:val="left"/>
      <w:pPr>
        <w:ind w:left="720" w:hanging="360"/>
      </w:pPr>
      <w:rPr>
        <w:rFonts w:ascii="Symbol" w:hAnsi="Symbol" w:hint="default"/>
      </w:rPr>
    </w:lvl>
    <w:lvl w:ilvl="1" w:tplc="394CA1FC" w:tentative="1">
      <w:start w:val="1"/>
      <w:numFmt w:val="bullet"/>
      <w:lvlText w:val="o"/>
      <w:lvlJc w:val="left"/>
      <w:pPr>
        <w:ind w:left="1440" w:hanging="360"/>
      </w:pPr>
      <w:rPr>
        <w:rFonts w:ascii="Courier New" w:hAnsi="Courier New" w:cs="Courier New" w:hint="default"/>
      </w:rPr>
    </w:lvl>
    <w:lvl w:ilvl="2" w:tplc="E6387C5C" w:tentative="1">
      <w:start w:val="1"/>
      <w:numFmt w:val="bullet"/>
      <w:lvlText w:val=""/>
      <w:lvlJc w:val="left"/>
      <w:pPr>
        <w:ind w:left="2160" w:hanging="360"/>
      </w:pPr>
      <w:rPr>
        <w:rFonts w:ascii="Wingdings" w:hAnsi="Wingdings" w:hint="default"/>
      </w:rPr>
    </w:lvl>
    <w:lvl w:ilvl="3" w:tplc="6E2E3F0E">
      <w:start w:val="1"/>
      <w:numFmt w:val="bullet"/>
      <w:lvlText w:val=""/>
      <w:lvlJc w:val="left"/>
      <w:pPr>
        <w:ind w:left="2880" w:hanging="360"/>
      </w:pPr>
      <w:rPr>
        <w:rFonts w:ascii="Symbol" w:hAnsi="Symbol" w:hint="default"/>
      </w:rPr>
    </w:lvl>
    <w:lvl w:ilvl="4" w:tplc="7B5A95A0" w:tentative="1">
      <w:start w:val="1"/>
      <w:numFmt w:val="bullet"/>
      <w:lvlText w:val="o"/>
      <w:lvlJc w:val="left"/>
      <w:pPr>
        <w:ind w:left="3600" w:hanging="360"/>
      </w:pPr>
      <w:rPr>
        <w:rFonts w:ascii="Courier New" w:hAnsi="Courier New" w:cs="Courier New" w:hint="default"/>
      </w:rPr>
    </w:lvl>
    <w:lvl w:ilvl="5" w:tplc="C45A51D2" w:tentative="1">
      <w:start w:val="1"/>
      <w:numFmt w:val="bullet"/>
      <w:lvlText w:val=""/>
      <w:lvlJc w:val="left"/>
      <w:pPr>
        <w:ind w:left="4320" w:hanging="360"/>
      </w:pPr>
      <w:rPr>
        <w:rFonts w:ascii="Wingdings" w:hAnsi="Wingdings" w:hint="default"/>
      </w:rPr>
    </w:lvl>
    <w:lvl w:ilvl="6" w:tplc="5032E230" w:tentative="1">
      <w:start w:val="1"/>
      <w:numFmt w:val="bullet"/>
      <w:lvlText w:val=""/>
      <w:lvlJc w:val="left"/>
      <w:pPr>
        <w:ind w:left="5040" w:hanging="360"/>
      </w:pPr>
      <w:rPr>
        <w:rFonts w:ascii="Symbol" w:hAnsi="Symbol" w:hint="default"/>
      </w:rPr>
    </w:lvl>
    <w:lvl w:ilvl="7" w:tplc="EFCC1D46" w:tentative="1">
      <w:start w:val="1"/>
      <w:numFmt w:val="bullet"/>
      <w:lvlText w:val="o"/>
      <w:lvlJc w:val="left"/>
      <w:pPr>
        <w:ind w:left="5760" w:hanging="360"/>
      </w:pPr>
      <w:rPr>
        <w:rFonts w:ascii="Courier New" w:hAnsi="Courier New" w:cs="Courier New" w:hint="default"/>
      </w:rPr>
    </w:lvl>
    <w:lvl w:ilvl="8" w:tplc="8696C468" w:tentative="1">
      <w:start w:val="1"/>
      <w:numFmt w:val="bullet"/>
      <w:lvlText w:val=""/>
      <w:lvlJc w:val="left"/>
      <w:pPr>
        <w:ind w:left="6480" w:hanging="360"/>
      </w:pPr>
      <w:rPr>
        <w:rFonts w:ascii="Wingdings" w:hAnsi="Wingdings" w:hint="default"/>
      </w:rPr>
    </w:lvl>
  </w:abstractNum>
  <w:num w:numId="1" w16cid:durableId="1948148098">
    <w:abstractNumId w:val="0"/>
  </w:num>
  <w:num w:numId="2" w16cid:durableId="619843829">
    <w:abstractNumId w:val="3"/>
  </w:num>
  <w:num w:numId="3" w16cid:durableId="875699671">
    <w:abstractNumId w:val="4"/>
  </w:num>
  <w:num w:numId="4" w16cid:durableId="1311908652">
    <w:abstractNumId w:val="5"/>
  </w:num>
  <w:num w:numId="5" w16cid:durableId="2123763722">
    <w:abstractNumId w:val="1"/>
  </w:num>
  <w:num w:numId="6" w16cid:durableId="151416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E38"/>
    <w:rsid w:val="00033F55"/>
    <w:rsid w:val="00071B66"/>
    <w:rsid w:val="00073BB1"/>
    <w:rsid w:val="00075A02"/>
    <w:rsid w:val="00075E38"/>
    <w:rsid w:val="000A2C83"/>
    <w:rsid w:val="000B51B5"/>
    <w:rsid w:val="000C3EEC"/>
    <w:rsid w:val="000F1925"/>
    <w:rsid w:val="0010477F"/>
    <w:rsid w:val="00121EC6"/>
    <w:rsid w:val="00123DDB"/>
    <w:rsid w:val="001F46DA"/>
    <w:rsid w:val="00205423"/>
    <w:rsid w:val="00214F00"/>
    <w:rsid w:val="0024095F"/>
    <w:rsid w:val="00241730"/>
    <w:rsid w:val="002530A7"/>
    <w:rsid w:val="0025638F"/>
    <w:rsid w:val="00290911"/>
    <w:rsid w:val="00292805"/>
    <w:rsid w:val="00307B5D"/>
    <w:rsid w:val="00315F0D"/>
    <w:rsid w:val="003375E7"/>
    <w:rsid w:val="003C696A"/>
    <w:rsid w:val="003D7677"/>
    <w:rsid w:val="003E03B8"/>
    <w:rsid w:val="0043054A"/>
    <w:rsid w:val="00487213"/>
    <w:rsid w:val="004913E0"/>
    <w:rsid w:val="004C7158"/>
    <w:rsid w:val="00546EBA"/>
    <w:rsid w:val="005A001D"/>
    <w:rsid w:val="005A1F8A"/>
    <w:rsid w:val="005B1D69"/>
    <w:rsid w:val="005B3B42"/>
    <w:rsid w:val="005F1FB7"/>
    <w:rsid w:val="00601612"/>
    <w:rsid w:val="00655BE6"/>
    <w:rsid w:val="006C5CC7"/>
    <w:rsid w:val="006F318C"/>
    <w:rsid w:val="007378D4"/>
    <w:rsid w:val="00754FEE"/>
    <w:rsid w:val="00785936"/>
    <w:rsid w:val="007A2B43"/>
    <w:rsid w:val="008158B6"/>
    <w:rsid w:val="00836EA9"/>
    <w:rsid w:val="00864F00"/>
    <w:rsid w:val="00877247"/>
    <w:rsid w:val="00884AD8"/>
    <w:rsid w:val="008B6FDF"/>
    <w:rsid w:val="008E327B"/>
    <w:rsid w:val="00903E2A"/>
    <w:rsid w:val="00906287"/>
    <w:rsid w:val="00920AA0"/>
    <w:rsid w:val="009445FA"/>
    <w:rsid w:val="00957245"/>
    <w:rsid w:val="00973F48"/>
    <w:rsid w:val="00986F3B"/>
    <w:rsid w:val="009B0B8F"/>
    <w:rsid w:val="009D3DF7"/>
    <w:rsid w:val="009D71EA"/>
    <w:rsid w:val="00A76FC5"/>
    <w:rsid w:val="00AC32AC"/>
    <w:rsid w:val="00AD1DF9"/>
    <w:rsid w:val="00AE270B"/>
    <w:rsid w:val="00B21FD4"/>
    <w:rsid w:val="00B63B67"/>
    <w:rsid w:val="00C32270"/>
    <w:rsid w:val="00CC4B99"/>
    <w:rsid w:val="00D328DB"/>
    <w:rsid w:val="00DD3302"/>
    <w:rsid w:val="00DF5122"/>
    <w:rsid w:val="00E43964"/>
    <w:rsid w:val="00E5037A"/>
    <w:rsid w:val="00E55C12"/>
    <w:rsid w:val="00E72BC9"/>
    <w:rsid w:val="00EB4944"/>
    <w:rsid w:val="00EF03D4"/>
    <w:rsid w:val="00F130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0F25"/>
  <w15:chartTrackingRefBased/>
  <w15:docId w15:val="{1086D3E7-9E23-4DE0-8FC8-F1A8CB31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E3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75E3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75E3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75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E3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75E3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75E3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75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E38"/>
    <w:rPr>
      <w:rFonts w:eastAsiaTheme="majorEastAsia" w:cstheme="majorBidi"/>
      <w:color w:val="272727" w:themeColor="text1" w:themeTint="D8"/>
    </w:rPr>
  </w:style>
  <w:style w:type="paragraph" w:styleId="Title">
    <w:name w:val="Title"/>
    <w:basedOn w:val="Normal"/>
    <w:next w:val="Normal"/>
    <w:link w:val="TitleChar"/>
    <w:uiPriority w:val="10"/>
    <w:qFormat/>
    <w:rsid w:val="00075E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75E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75E3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75E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75E38"/>
    <w:pPr>
      <w:spacing w:before="160"/>
      <w:jc w:val="center"/>
    </w:pPr>
    <w:rPr>
      <w:i/>
      <w:iCs/>
      <w:color w:val="404040" w:themeColor="text1" w:themeTint="BF"/>
    </w:rPr>
  </w:style>
  <w:style w:type="character" w:customStyle="1" w:styleId="QuoteChar">
    <w:name w:val="Quote Char"/>
    <w:basedOn w:val="DefaultParagraphFont"/>
    <w:link w:val="Quote"/>
    <w:uiPriority w:val="29"/>
    <w:rsid w:val="00075E38"/>
    <w:rPr>
      <w:i/>
      <w:iCs/>
      <w:color w:val="404040" w:themeColor="text1" w:themeTint="BF"/>
    </w:rPr>
  </w:style>
  <w:style w:type="paragraph" w:styleId="ListParagraph">
    <w:name w:val="List Paragraph"/>
    <w:basedOn w:val="Normal"/>
    <w:uiPriority w:val="34"/>
    <w:qFormat/>
    <w:rsid w:val="00075E38"/>
    <w:pPr>
      <w:ind w:left="720"/>
      <w:contextualSpacing/>
    </w:pPr>
  </w:style>
  <w:style w:type="character" w:styleId="IntenseEmphasis">
    <w:name w:val="Intense Emphasis"/>
    <w:basedOn w:val="DefaultParagraphFont"/>
    <w:uiPriority w:val="21"/>
    <w:qFormat/>
    <w:rsid w:val="00075E38"/>
    <w:rPr>
      <w:i/>
      <w:iCs/>
      <w:color w:val="0F4761" w:themeColor="accent1" w:themeShade="BF"/>
    </w:rPr>
  </w:style>
  <w:style w:type="paragraph" w:styleId="IntenseQuote">
    <w:name w:val="Intense Quote"/>
    <w:basedOn w:val="Normal"/>
    <w:next w:val="Normal"/>
    <w:link w:val="IntenseQuoteChar"/>
    <w:uiPriority w:val="30"/>
    <w:qFormat/>
    <w:rsid w:val="00075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E38"/>
    <w:rPr>
      <w:i/>
      <w:iCs/>
      <w:color w:val="0F4761" w:themeColor="accent1" w:themeShade="BF"/>
    </w:rPr>
  </w:style>
  <w:style w:type="character" w:styleId="IntenseReference">
    <w:name w:val="Intense Reference"/>
    <w:basedOn w:val="DefaultParagraphFont"/>
    <w:uiPriority w:val="32"/>
    <w:qFormat/>
    <w:rsid w:val="00075E38"/>
    <w:rPr>
      <w:b/>
      <w:bCs/>
      <w:smallCaps/>
      <w:color w:val="0F4761" w:themeColor="accent1" w:themeShade="BF"/>
      <w:spacing w:val="5"/>
    </w:rPr>
  </w:style>
  <w:style w:type="paragraph" w:styleId="FootnoteText">
    <w:name w:val="footnote text"/>
    <w:basedOn w:val="Normal"/>
    <w:link w:val="FootnoteTextChar"/>
    <w:uiPriority w:val="99"/>
    <w:semiHidden/>
    <w:unhideWhenUsed/>
    <w:rsid w:val="003E03B8"/>
    <w:pPr>
      <w:spacing w:after="0" w:line="240" w:lineRule="auto"/>
    </w:pPr>
    <w:rPr>
      <w:sz w:val="20"/>
      <w:szCs w:val="20"/>
      <w:lang w:bidi="ar-SA"/>
    </w:rPr>
  </w:style>
  <w:style w:type="character" w:customStyle="1" w:styleId="FootnoteTextChar">
    <w:name w:val="Footnote Text Char"/>
    <w:basedOn w:val="DefaultParagraphFont"/>
    <w:link w:val="FootnoteText"/>
    <w:uiPriority w:val="99"/>
    <w:semiHidden/>
    <w:rsid w:val="003E03B8"/>
    <w:rPr>
      <w:sz w:val="20"/>
      <w:szCs w:val="20"/>
      <w:lang w:bidi="ar-SA"/>
    </w:rPr>
  </w:style>
  <w:style w:type="character" w:styleId="FootnoteReference">
    <w:name w:val="footnote reference"/>
    <w:basedOn w:val="DefaultParagraphFont"/>
    <w:uiPriority w:val="99"/>
    <w:semiHidden/>
    <w:unhideWhenUsed/>
    <w:rsid w:val="003E03B8"/>
    <w:rPr>
      <w:vertAlign w:val="superscript"/>
    </w:rPr>
  </w:style>
  <w:style w:type="paragraph" w:styleId="NormalWeb">
    <w:name w:val="Normal (Web)"/>
    <w:basedOn w:val="Normal"/>
    <w:uiPriority w:val="99"/>
    <w:unhideWhenUsed/>
    <w:rsid w:val="003E03B8"/>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table" w:styleId="TableGrid">
    <w:name w:val="Table Grid"/>
    <w:basedOn w:val="TableNormal"/>
    <w:uiPriority w:val="39"/>
    <w:rsid w:val="00A76FC5"/>
    <w:pPr>
      <w:spacing w:after="0" w:line="240" w:lineRule="auto"/>
    </w:pPr>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4</Pages>
  <Words>1630</Words>
  <Characters>11965</Characters>
  <Application>Microsoft Office Word</Application>
  <DocSecurity>0</DocSecurity>
  <Lines>202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Devendra</dc:creator>
  <cp:lastModifiedBy>ANAND KUMAR</cp:lastModifiedBy>
  <cp:revision>62</cp:revision>
  <dcterms:created xsi:type="dcterms:W3CDTF">2026-03-20T07:31:00Z</dcterms:created>
  <dcterms:modified xsi:type="dcterms:W3CDTF">2026-03-20T10:08:00Z</dcterms:modified>
</cp:coreProperties>
</file>