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F44D" w14:textId="77777777" w:rsidR="00F833BF" w:rsidRPr="00B47833" w:rsidRDefault="00F833BF" w:rsidP="00F833BF">
      <w:pPr>
        <w:spacing w:after="0" w:line="360" w:lineRule="auto"/>
        <w:jc w:val="center"/>
        <w:rPr>
          <w:rFonts w:ascii="Tahoma" w:hAnsi="Tahoma" w:cs="Tahoma"/>
          <w:b/>
          <w:bCs/>
          <w:sz w:val="24"/>
          <w:szCs w:val="24"/>
        </w:rPr>
      </w:pPr>
      <w:r w:rsidRPr="00B47833">
        <w:rPr>
          <w:rFonts w:ascii="Tahoma" w:hAnsi="Tahoma" w:cs="Tahoma"/>
          <w:b/>
          <w:bCs/>
          <w:sz w:val="24"/>
          <w:szCs w:val="24"/>
        </w:rPr>
        <w:t>Meeting with USIBC Delegation on 24.11.2025</w:t>
      </w:r>
    </w:p>
    <w:p w14:paraId="25205A2D" w14:textId="77777777" w:rsidR="00005372" w:rsidRDefault="00005372" w:rsidP="00F833BF">
      <w:pPr>
        <w:spacing w:after="0" w:line="360" w:lineRule="auto"/>
        <w:jc w:val="center"/>
        <w:rPr>
          <w:rFonts w:ascii="Tahoma" w:hAnsi="Tahoma" w:cs="Tahoma"/>
          <w:b/>
          <w:bCs/>
          <w:sz w:val="24"/>
          <w:szCs w:val="24"/>
          <w:u w:val="single"/>
        </w:rPr>
      </w:pPr>
    </w:p>
    <w:p w14:paraId="07F81561" w14:textId="511E559F" w:rsidR="00005372" w:rsidRDefault="00005372" w:rsidP="003436AF">
      <w:pPr>
        <w:pStyle w:val="ListParagraph"/>
        <w:numPr>
          <w:ilvl w:val="0"/>
          <w:numId w:val="1"/>
        </w:numPr>
        <w:spacing w:after="0" w:line="360" w:lineRule="auto"/>
        <w:ind w:left="357"/>
        <w:contextualSpacing w:val="0"/>
        <w:jc w:val="both"/>
        <w:rPr>
          <w:rFonts w:ascii="Tahoma" w:hAnsi="Tahoma" w:cs="Tahoma"/>
          <w:b/>
          <w:bCs/>
          <w:sz w:val="24"/>
          <w:szCs w:val="24"/>
          <w:lang w:val="en-US"/>
        </w:rPr>
      </w:pPr>
      <w:r>
        <w:rPr>
          <w:rFonts w:ascii="Tahoma" w:hAnsi="Tahoma" w:cs="Tahoma"/>
          <w:b/>
          <w:bCs/>
          <w:sz w:val="24"/>
          <w:szCs w:val="24"/>
          <w:lang w:val="en-US"/>
        </w:rPr>
        <w:t xml:space="preserve"> </w:t>
      </w:r>
      <w:r w:rsidRPr="00AD0505">
        <w:rPr>
          <w:rFonts w:ascii="Tahoma" w:hAnsi="Tahoma" w:cs="Tahoma"/>
          <w:b/>
          <w:bCs/>
          <w:sz w:val="24"/>
          <w:szCs w:val="24"/>
          <w:lang w:val="en-US"/>
        </w:rPr>
        <w:t xml:space="preserve">Differential regulations for B2C and B2B </w:t>
      </w:r>
    </w:p>
    <w:p w14:paraId="69348E76" w14:textId="77777777" w:rsidR="00F94C3B" w:rsidRPr="00AD0505" w:rsidRDefault="00F94C3B" w:rsidP="00F94C3B">
      <w:pPr>
        <w:pStyle w:val="ListParagraph"/>
        <w:spacing w:after="0" w:line="360" w:lineRule="auto"/>
        <w:ind w:left="357"/>
        <w:contextualSpacing w:val="0"/>
        <w:jc w:val="both"/>
        <w:rPr>
          <w:rFonts w:ascii="Tahoma" w:hAnsi="Tahoma" w:cs="Tahoma"/>
          <w:b/>
          <w:bCs/>
          <w:sz w:val="24"/>
          <w:szCs w:val="24"/>
          <w:lang w:val="en-US"/>
        </w:rPr>
      </w:pPr>
    </w:p>
    <w:p w14:paraId="5358DB51" w14:textId="77777777" w:rsidR="00005372" w:rsidRPr="006E6217" w:rsidRDefault="00005372" w:rsidP="00005372">
      <w:pPr>
        <w:spacing w:line="360" w:lineRule="auto"/>
        <w:jc w:val="both"/>
        <w:rPr>
          <w:rFonts w:ascii="Tahoma" w:hAnsi="Tahoma" w:cs="Tahoma"/>
          <w:sz w:val="24"/>
          <w:szCs w:val="24"/>
          <w:lang w:val="en-US"/>
        </w:rPr>
      </w:pPr>
      <w:r w:rsidRPr="006E6217">
        <w:rPr>
          <w:rFonts w:ascii="Tahoma" w:hAnsi="Tahoma" w:cs="Tahoma"/>
          <w:sz w:val="24"/>
          <w:szCs w:val="24"/>
          <w:lang w:val="en-US"/>
        </w:rPr>
        <w:t xml:space="preserve">Differences do exist between individual customers and business customers in terms of awareness, bargaining power, and purpose of B2C and B2B communication.  </w:t>
      </w:r>
      <w:proofErr w:type="gramStart"/>
      <w:r w:rsidRPr="006E6217">
        <w:rPr>
          <w:rFonts w:ascii="Tahoma" w:hAnsi="Tahoma" w:cs="Tahoma"/>
          <w:sz w:val="24"/>
          <w:szCs w:val="24"/>
          <w:lang w:val="en-US"/>
        </w:rPr>
        <w:t>So</w:t>
      </w:r>
      <w:proofErr w:type="gramEnd"/>
      <w:r w:rsidRPr="006E6217">
        <w:rPr>
          <w:rFonts w:ascii="Tahoma" w:hAnsi="Tahoma" w:cs="Tahoma"/>
          <w:sz w:val="24"/>
          <w:szCs w:val="24"/>
          <w:lang w:val="en-US"/>
        </w:rPr>
        <w:t xml:space="preserve"> while individual customers are</w:t>
      </w:r>
      <w:r w:rsidRPr="006E6217">
        <w:rPr>
          <w:rFonts w:ascii="Tahoma" w:hAnsi="Tahoma" w:cs="Tahoma"/>
          <w:sz w:val="24"/>
          <w:szCs w:val="24"/>
        </w:rPr>
        <w:t xml:space="preserve"> relatively </w:t>
      </w:r>
      <w:proofErr w:type="gramStart"/>
      <w:r w:rsidRPr="006E6217">
        <w:rPr>
          <w:rFonts w:ascii="Tahoma" w:hAnsi="Tahoma" w:cs="Tahoma"/>
          <w:sz w:val="24"/>
          <w:szCs w:val="24"/>
        </w:rPr>
        <w:t>less-informed</w:t>
      </w:r>
      <w:proofErr w:type="gramEnd"/>
      <w:r w:rsidRPr="006E6217">
        <w:rPr>
          <w:rFonts w:ascii="Tahoma" w:hAnsi="Tahoma" w:cs="Tahoma"/>
          <w:sz w:val="24"/>
          <w:szCs w:val="24"/>
        </w:rPr>
        <w:t xml:space="preserve"> and weaker who typically make purchases for personal use, the business customers have commercial expertise and better bargaining power as they purchase goods or services for business </w:t>
      </w:r>
      <w:proofErr w:type="gramStart"/>
      <w:r w:rsidRPr="006E6217">
        <w:rPr>
          <w:rFonts w:ascii="Tahoma" w:hAnsi="Tahoma" w:cs="Tahoma"/>
          <w:sz w:val="24"/>
          <w:szCs w:val="24"/>
        </w:rPr>
        <w:t>purposes</w:t>
      </w:r>
      <w:proofErr w:type="gramEnd"/>
      <w:r w:rsidRPr="006E6217">
        <w:rPr>
          <w:rFonts w:ascii="Tahoma" w:hAnsi="Tahoma" w:cs="Tahoma"/>
          <w:sz w:val="24"/>
          <w:szCs w:val="24"/>
        </w:rPr>
        <w:t xml:space="preserve"> and </w:t>
      </w:r>
      <w:proofErr w:type="gramStart"/>
      <w:r w:rsidRPr="006E6217">
        <w:rPr>
          <w:rFonts w:ascii="Tahoma" w:hAnsi="Tahoma" w:cs="Tahoma"/>
          <w:sz w:val="24"/>
          <w:szCs w:val="24"/>
        </w:rPr>
        <w:t>the business</w:t>
      </w:r>
      <w:proofErr w:type="gramEnd"/>
      <w:r w:rsidRPr="006E6217">
        <w:rPr>
          <w:rFonts w:ascii="Tahoma" w:hAnsi="Tahoma" w:cs="Tahoma"/>
          <w:sz w:val="24"/>
          <w:szCs w:val="24"/>
        </w:rPr>
        <w:t xml:space="preserve"> transactions often involve high value and complex products or services</w:t>
      </w:r>
      <w:r w:rsidRPr="006E6217">
        <w:rPr>
          <w:rFonts w:ascii="Tahoma" w:hAnsi="Tahoma" w:cs="Tahoma"/>
          <w:sz w:val="24"/>
          <w:szCs w:val="24"/>
          <w:lang w:val="en-US"/>
        </w:rPr>
        <w:t>.</w:t>
      </w:r>
    </w:p>
    <w:p w14:paraId="12E28B4B" w14:textId="77777777" w:rsidR="00005372" w:rsidRPr="006E6217" w:rsidRDefault="00005372" w:rsidP="00005372">
      <w:pPr>
        <w:spacing w:line="360" w:lineRule="auto"/>
        <w:jc w:val="both"/>
        <w:rPr>
          <w:rFonts w:ascii="Tahoma" w:hAnsi="Tahoma" w:cs="Tahoma"/>
          <w:sz w:val="24"/>
          <w:szCs w:val="24"/>
          <w:lang w:val="en-US"/>
        </w:rPr>
      </w:pPr>
      <w:r w:rsidRPr="006E6217">
        <w:rPr>
          <w:rFonts w:ascii="Tahoma" w:hAnsi="Tahoma" w:cs="Tahoma"/>
          <w:sz w:val="24"/>
          <w:szCs w:val="24"/>
          <w:lang w:val="en-US"/>
        </w:rPr>
        <w:t xml:space="preserve">However, as far as differential regulation for B2B and B2C is concerned, we need to take into consideration the problem sought to be addressed. For example, let us take the problem of unsolicited commercial communications or spam. The entire regulatory framework revolves around the willingness of the recipient in term of preference and consent to receive or not to receive commercial communication, irrespective of whether the recipient is an individual customer or a business customer. </w:t>
      </w:r>
    </w:p>
    <w:p w14:paraId="1806800F" w14:textId="77777777" w:rsidR="00005372" w:rsidRPr="006E6217" w:rsidRDefault="00005372" w:rsidP="00005372">
      <w:pPr>
        <w:spacing w:line="360" w:lineRule="auto"/>
        <w:jc w:val="both"/>
        <w:rPr>
          <w:rFonts w:ascii="Tahoma" w:hAnsi="Tahoma" w:cs="Tahoma"/>
          <w:sz w:val="24"/>
          <w:szCs w:val="24"/>
          <w:lang w:val="en-US"/>
        </w:rPr>
      </w:pPr>
      <w:r w:rsidRPr="006E6217">
        <w:rPr>
          <w:rFonts w:ascii="Tahoma" w:hAnsi="Tahoma" w:cs="Tahoma"/>
          <w:sz w:val="24"/>
          <w:szCs w:val="24"/>
          <w:lang w:val="en-US"/>
        </w:rPr>
        <w:t xml:space="preserve">The regulations, namely, </w:t>
      </w:r>
      <w:r w:rsidRPr="00E4177A">
        <w:rPr>
          <w:rFonts w:ascii="Tahoma" w:hAnsi="Tahoma" w:cs="Tahoma"/>
          <w:b/>
          <w:bCs/>
          <w:sz w:val="24"/>
          <w:szCs w:val="24"/>
          <w:lang w:val="en-US"/>
        </w:rPr>
        <w:t>Telecom Commercial Communications Customer’s Preference Regulations</w:t>
      </w:r>
      <w:r w:rsidRPr="006E6217">
        <w:rPr>
          <w:rFonts w:ascii="Tahoma" w:hAnsi="Tahoma" w:cs="Tahoma"/>
          <w:sz w:val="24"/>
          <w:szCs w:val="24"/>
          <w:lang w:val="en-US"/>
        </w:rPr>
        <w:t>, permit transactional and service commercial communications based on inferred consent of the recipient which means any permission that can be reasonably inferred from the customer’s conduct or the relationship between the recipient and the sender including relationship based on prior or existing business relationship.</w:t>
      </w:r>
    </w:p>
    <w:p w14:paraId="4C6B81AF" w14:textId="77777777" w:rsidR="00005372" w:rsidRPr="00E4177A" w:rsidRDefault="00005372" w:rsidP="00005372">
      <w:pPr>
        <w:spacing w:line="360" w:lineRule="auto"/>
        <w:jc w:val="both"/>
        <w:rPr>
          <w:rFonts w:ascii="Tahoma" w:hAnsi="Tahoma" w:cs="Tahoma"/>
          <w:b/>
          <w:bCs/>
          <w:sz w:val="24"/>
          <w:szCs w:val="24"/>
          <w:lang w:val="en-US"/>
        </w:rPr>
      </w:pPr>
      <w:r w:rsidRPr="006E6217">
        <w:rPr>
          <w:rFonts w:ascii="Tahoma" w:hAnsi="Tahoma" w:cs="Tahoma"/>
          <w:sz w:val="24"/>
          <w:szCs w:val="24"/>
          <w:lang w:val="en-US"/>
        </w:rPr>
        <w:t xml:space="preserve">So, while the regulations do take into account the existing relationship for permitting commercial communication, no one should be allowed to exploit the regulatory framework for one’s own benefit at the cost of recipients. Accordingly, stringent provisions exist for action against violators. </w:t>
      </w:r>
      <w:r w:rsidRPr="00E4177A">
        <w:rPr>
          <w:rFonts w:ascii="Tahoma" w:hAnsi="Tahoma" w:cs="Tahoma"/>
          <w:b/>
          <w:bCs/>
          <w:sz w:val="24"/>
          <w:szCs w:val="24"/>
          <w:lang w:val="en-US"/>
        </w:rPr>
        <w:t xml:space="preserve">Hence, these regulations, without the need to differentiate between B2C and B2B, </w:t>
      </w:r>
      <w:proofErr w:type="gramStart"/>
      <w:r w:rsidRPr="00E4177A">
        <w:rPr>
          <w:rFonts w:ascii="Tahoma" w:hAnsi="Tahoma" w:cs="Tahoma"/>
          <w:b/>
          <w:bCs/>
          <w:sz w:val="24"/>
          <w:szCs w:val="24"/>
          <w:lang w:val="en-US"/>
        </w:rPr>
        <w:t>balances</w:t>
      </w:r>
      <w:proofErr w:type="gramEnd"/>
      <w:r w:rsidRPr="00E4177A">
        <w:rPr>
          <w:rFonts w:ascii="Tahoma" w:hAnsi="Tahoma" w:cs="Tahoma"/>
          <w:b/>
          <w:bCs/>
          <w:sz w:val="24"/>
          <w:szCs w:val="24"/>
          <w:lang w:val="en-US"/>
        </w:rPr>
        <w:t xml:space="preserve"> the customer interest, whether individual or business, with the interest of business for legitimate commercial communications. </w:t>
      </w:r>
    </w:p>
    <w:p w14:paraId="535B064B" w14:textId="77777777" w:rsidR="00005372" w:rsidRPr="006E6217" w:rsidRDefault="00005372" w:rsidP="00005372">
      <w:pPr>
        <w:spacing w:line="360" w:lineRule="auto"/>
        <w:jc w:val="both"/>
        <w:rPr>
          <w:rFonts w:ascii="Tahoma" w:hAnsi="Tahoma" w:cs="Tahoma"/>
          <w:sz w:val="24"/>
          <w:szCs w:val="24"/>
        </w:rPr>
      </w:pPr>
      <w:r w:rsidRPr="006E6217">
        <w:rPr>
          <w:rFonts w:ascii="Tahoma" w:hAnsi="Tahoma" w:cs="Tahoma"/>
          <w:sz w:val="24"/>
          <w:szCs w:val="24"/>
        </w:rPr>
        <w:lastRenderedPageBreak/>
        <w:t xml:space="preserve">We need to further see the challenges that may come with differentiated regime such as defining and verifying what constitutes a B2B relationship, creating the need for additional system identifiers or registries, and establishing auditable mechanisms to prevent misuse. B2B categorization may be exploited to bypass consumer protection safeguards. Ensuring clarity, ease of enforcement, and reduced compliance complexity are some of the key factors while deciding on what regulatory framework to adopt. </w:t>
      </w:r>
    </w:p>
    <w:p w14:paraId="7E61C60E" w14:textId="77777777" w:rsidR="00005372" w:rsidRDefault="00005372" w:rsidP="00005372">
      <w:pPr>
        <w:spacing w:after="0" w:line="360" w:lineRule="auto"/>
        <w:jc w:val="both"/>
        <w:rPr>
          <w:rFonts w:ascii="Tahoma" w:hAnsi="Tahoma" w:cs="Tahoma"/>
          <w:b/>
          <w:bCs/>
          <w:sz w:val="24"/>
          <w:szCs w:val="24"/>
          <w:u w:val="single"/>
        </w:rPr>
      </w:pPr>
    </w:p>
    <w:p w14:paraId="3C553C7C" w14:textId="77777777" w:rsidR="00F833BF" w:rsidRDefault="00F833BF" w:rsidP="00F833BF">
      <w:pPr>
        <w:spacing w:after="0" w:line="360" w:lineRule="auto"/>
        <w:jc w:val="center"/>
        <w:rPr>
          <w:rFonts w:ascii="Tahoma" w:hAnsi="Tahoma" w:cs="Tahoma"/>
          <w:b/>
          <w:bCs/>
          <w:sz w:val="24"/>
          <w:szCs w:val="24"/>
          <w:u w:val="single"/>
        </w:rPr>
      </w:pPr>
    </w:p>
    <w:p w14:paraId="2CFE235C" w14:textId="237C758F" w:rsidR="00F833BF" w:rsidRPr="00B47833" w:rsidRDefault="00F833BF" w:rsidP="003436AF">
      <w:pPr>
        <w:pStyle w:val="ListParagraph"/>
        <w:numPr>
          <w:ilvl w:val="0"/>
          <w:numId w:val="1"/>
        </w:numPr>
        <w:spacing w:after="0" w:line="360" w:lineRule="auto"/>
        <w:ind w:left="357"/>
        <w:contextualSpacing w:val="0"/>
        <w:jc w:val="both"/>
        <w:rPr>
          <w:rFonts w:ascii="Tahoma" w:hAnsi="Tahoma" w:cs="Tahoma"/>
          <w:sz w:val="24"/>
          <w:szCs w:val="24"/>
        </w:rPr>
      </w:pPr>
      <w:r w:rsidRPr="00B47833">
        <w:rPr>
          <w:rFonts w:ascii="Tahoma" w:hAnsi="Tahoma" w:cs="Tahoma"/>
          <w:b/>
          <w:bCs/>
          <w:sz w:val="24"/>
          <w:szCs w:val="24"/>
        </w:rPr>
        <w:t xml:space="preserve">Spectrum (Satcom): </w:t>
      </w:r>
      <w:r w:rsidRPr="00B47833">
        <w:rPr>
          <w:rFonts w:ascii="Tahoma" w:hAnsi="Tahoma" w:cs="Tahoma"/>
          <w:sz w:val="24"/>
          <w:szCs w:val="24"/>
        </w:rPr>
        <w:t>Allocation/Pricing, migration of licenses, TEC/TTP, D2M</w:t>
      </w:r>
    </w:p>
    <w:p w14:paraId="2C9F50BF" w14:textId="77777777" w:rsidR="00F833BF" w:rsidRDefault="00F833BF" w:rsidP="00F833BF">
      <w:pPr>
        <w:pStyle w:val="ListParagraph"/>
        <w:ind w:left="360"/>
        <w:rPr>
          <w:rFonts w:ascii="Tahoma" w:hAnsi="Tahoma" w:cs="Tahoma"/>
          <w:sz w:val="24"/>
          <w:szCs w:val="24"/>
        </w:rPr>
      </w:pPr>
      <w:r>
        <w:rPr>
          <w:rFonts w:ascii="Tahoma" w:hAnsi="Tahoma" w:cs="Tahoma"/>
          <w:sz w:val="24"/>
          <w:szCs w:val="24"/>
        </w:rPr>
        <w:t>[</w:t>
      </w:r>
      <w:r w:rsidRPr="00DB0537">
        <w:rPr>
          <w:rFonts w:ascii="Tahoma" w:hAnsi="Tahoma" w:cs="Tahoma"/>
          <w:sz w:val="24"/>
          <w:szCs w:val="24"/>
        </w:rPr>
        <w:t xml:space="preserve">Details annexed as </w:t>
      </w:r>
      <w:r w:rsidRPr="00DB0537">
        <w:rPr>
          <w:rFonts w:ascii="Tahoma" w:hAnsi="Tahoma" w:cs="Tahoma"/>
          <w:b/>
          <w:bCs/>
          <w:sz w:val="24"/>
          <w:szCs w:val="24"/>
        </w:rPr>
        <w:t>Annexure 1</w:t>
      </w:r>
      <w:r w:rsidRPr="00DB0537">
        <w:rPr>
          <w:rFonts w:ascii="Tahoma" w:hAnsi="Tahoma" w:cs="Tahoma"/>
          <w:sz w:val="24"/>
          <w:szCs w:val="24"/>
        </w:rPr>
        <w:t>]</w:t>
      </w:r>
    </w:p>
    <w:p w14:paraId="76E97E6F" w14:textId="77777777" w:rsidR="00F833BF" w:rsidRPr="00B47833" w:rsidRDefault="00F833BF" w:rsidP="00F833BF">
      <w:pPr>
        <w:pStyle w:val="ListParagraph"/>
        <w:spacing w:line="360" w:lineRule="auto"/>
        <w:ind w:left="360"/>
        <w:jc w:val="both"/>
        <w:rPr>
          <w:rFonts w:ascii="Tahoma" w:hAnsi="Tahoma" w:cs="Tahoma"/>
          <w:sz w:val="24"/>
          <w:szCs w:val="24"/>
        </w:rPr>
      </w:pPr>
    </w:p>
    <w:p w14:paraId="76A45A5D" w14:textId="77777777" w:rsidR="00F833BF" w:rsidRDefault="00F833BF" w:rsidP="00F833BF">
      <w:pPr>
        <w:pStyle w:val="ListParagraph"/>
        <w:numPr>
          <w:ilvl w:val="0"/>
          <w:numId w:val="2"/>
        </w:numPr>
        <w:spacing w:after="0" w:line="360" w:lineRule="auto"/>
        <w:ind w:left="426" w:hanging="491"/>
        <w:contextualSpacing w:val="0"/>
        <w:jc w:val="both"/>
        <w:rPr>
          <w:rFonts w:ascii="Tahoma" w:hAnsi="Tahoma" w:cs="Tahoma"/>
          <w:b/>
          <w:bCs/>
          <w:sz w:val="24"/>
          <w:szCs w:val="24"/>
          <w:u w:val="single"/>
        </w:rPr>
      </w:pPr>
      <w:r w:rsidRPr="00B47833">
        <w:rPr>
          <w:rFonts w:ascii="Tahoma" w:hAnsi="Tahoma" w:cs="Tahoma"/>
          <w:b/>
          <w:bCs/>
          <w:sz w:val="24"/>
          <w:szCs w:val="24"/>
          <w:u w:val="single"/>
        </w:rPr>
        <w:t>Satellite Spectrum Allocation and Pricing</w:t>
      </w:r>
    </w:p>
    <w:p w14:paraId="1A2B8D4F" w14:textId="77777777" w:rsidR="00F833BF" w:rsidRPr="00B47833" w:rsidRDefault="00F833BF" w:rsidP="00F833BF">
      <w:pPr>
        <w:pStyle w:val="ListParagraph"/>
        <w:spacing w:after="0" w:line="360" w:lineRule="auto"/>
        <w:ind w:left="426"/>
        <w:contextualSpacing w:val="0"/>
        <w:jc w:val="both"/>
        <w:rPr>
          <w:rFonts w:ascii="Tahoma" w:hAnsi="Tahoma" w:cs="Tahoma"/>
          <w:b/>
          <w:bCs/>
          <w:sz w:val="24"/>
          <w:szCs w:val="24"/>
          <w:u w:val="single"/>
        </w:rPr>
      </w:pPr>
    </w:p>
    <w:p w14:paraId="13D8DC5B"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Pr>
          <w:rFonts w:ascii="Tahoma" w:hAnsi="Tahoma" w:cs="Tahoma"/>
          <w:sz w:val="24"/>
          <w:szCs w:val="24"/>
        </w:rPr>
        <w:t xml:space="preserve">In May 2025, </w:t>
      </w:r>
      <w:r w:rsidRPr="00B6473A">
        <w:rPr>
          <w:rFonts w:ascii="Tahoma" w:hAnsi="Tahoma" w:cs="Tahoma"/>
          <w:sz w:val="24"/>
          <w:szCs w:val="24"/>
        </w:rPr>
        <w:t xml:space="preserve">TRAI provided recommendations </w:t>
      </w:r>
      <w:r>
        <w:rPr>
          <w:rFonts w:ascii="Tahoma" w:hAnsi="Tahoma" w:cs="Tahoma"/>
          <w:sz w:val="24"/>
          <w:szCs w:val="24"/>
        </w:rPr>
        <w:t>o</w:t>
      </w:r>
      <w:r w:rsidRPr="00B6473A">
        <w:rPr>
          <w:rFonts w:ascii="Tahoma" w:hAnsi="Tahoma" w:cs="Tahoma"/>
          <w:sz w:val="24"/>
          <w:szCs w:val="24"/>
        </w:rPr>
        <w:t>n the ‘Terms and Conditions for the Assignment of Spectrum for Certain Satellite-Based Commercial Communication Services’</w:t>
      </w:r>
      <w:r>
        <w:rPr>
          <w:rFonts w:ascii="Tahoma" w:hAnsi="Tahoma" w:cs="Tahoma"/>
          <w:sz w:val="24"/>
          <w:szCs w:val="24"/>
        </w:rPr>
        <w:t xml:space="preserve">. </w:t>
      </w:r>
    </w:p>
    <w:p w14:paraId="018A3B92" w14:textId="77777777" w:rsidR="00F833BF" w:rsidRPr="00B6473A" w:rsidRDefault="00F833BF" w:rsidP="00F833BF">
      <w:pPr>
        <w:pStyle w:val="ListParagraph"/>
        <w:numPr>
          <w:ilvl w:val="0"/>
          <w:numId w:val="7"/>
        </w:numPr>
        <w:spacing w:after="0" w:line="360" w:lineRule="auto"/>
        <w:jc w:val="both"/>
        <w:rPr>
          <w:rFonts w:ascii="Tahoma" w:hAnsi="Tahoma" w:cs="Tahoma"/>
          <w:sz w:val="24"/>
          <w:szCs w:val="24"/>
        </w:rPr>
      </w:pPr>
      <w:r>
        <w:rPr>
          <w:rFonts w:ascii="Tahoma" w:hAnsi="Tahoma" w:cs="Tahoma"/>
          <w:sz w:val="24"/>
          <w:szCs w:val="24"/>
        </w:rPr>
        <w:t xml:space="preserve">Spectrum bands recommended are - </w:t>
      </w:r>
    </w:p>
    <w:p w14:paraId="2F1BFF78" w14:textId="77777777" w:rsidR="00F833BF" w:rsidRDefault="00F833BF" w:rsidP="00F833BF">
      <w:pPr>
        <w:pStyle w:val="ListParagraph"/>
        <w:numPr>
          <w:ilvl w:val="1"/>
          <w:numId w:val="4"/>
        </w:numPr>
        <w:spacing w:after="0" w:line="360" w:lineRule="auto"/>
        <w:ind w:left="993"/>
        <w:contextualSpacing w:val="0"/>
        <w:jc w:val="both"/>
        <w:rPr>
          <w:rFonts w:ascii="Tahoma" w:hAnsi="Tahoma" w:cs="Tahoma"/>
          <w:sz w:val="24"/>
          <w:szCs w:val="24"/>
        </w:rPr>
      </w:pPr>
      <w:r w:rsidRPr="00B47833">
        <w:rPr>
          <w:rFonts w:ascii="Tahoma" w:hAnsi="Tahoma" w:cs="Tahoma"/>
          <w:sz w:val="24"/>
          <w:szCs w:val="24"/>
        </w:rPr>
        <w:t xml:space="preserve">For NGSO-based FSS </w:t>
      </w:r>
      <w:r>
        <w:rPr>
          <w:rFonts w:ascii="Tahoma" w:hAnsi="Tahoma" w:cs="Tahoma"/>
          <w:sz w:val="24"/>
          <w:szCs w:val="24"/>
        </w:rPr>
        <w:t xml:space="preserve">- </w:t>
      </w:r>
      <w:r w:rsidRPr="00B47833">
        <w:rPr>
          <w:rFonts w:ascii="Tahoma" w:hAnsi="Tahoma" w:cs="Tahoma"/>
          <w:sz w:val="24"/>
          <w:szCs w:val="24"/>
        </w:rPr>
        <w:t>frequency spectrum in Ku</w:t>
      </w:r>
      <w:r>
        <w:rPr>
          <w:rFonts w:ascii="Tahoma" w:hAnsi="Tahoma" w:cs="Tahoma"/>
          <w:sz w:val="24"/>
          <w:szCs w:val="24"/>
        </w:rPr>
        <w:t>,</w:t>
      </w:r>
      <w:r w:rsidRPr="00B47833">
        <w:rPr>
          <w:rFonts w:ascii="Tahoma" w:hAnsi="Tahoma" w:cs="Tahoma"/>
          <w:sz w:val="24"/>
          <w:szCs w:val="24"/>
        </w:rPr>
        <w:t xml:space="preserve"> Ka</w:t>
      </w:r>
      <w:r>
        <w:rPr>
          <w:rFonts w:ascii="Tahoma" w:hAnsi="Tahoma" w:cs="Tahoma"/>
          <w:sz w:val="24"/>
          <w:szCs w:val="24"/>
        </w:rPr>
        <w:t xml:space="preserve">, </w:t>
      </w:r>
      <w:r w:rsidRPr="00B47833">
        <w:rPr>
          <w:rFonts w:ascii="Tahoma" w:hAnsi="Tahoma" w:cs="Tahoma"/>
          <w:sz w:val="24"/>
          <w:szCs w:val="24"/>
        </w:rPr>
        <w:t>and Q/V band</w:t>
      </w:r>
      <w:r>
        <w:rPr>
          <w:rFonts w:ascii="Tahoma" w:hAnsi="Tahoma" w:cs="Tahoma"/>
          <w:sz w:val="24"/>
          <w:szCs w:val="24"/>
        </w:rPr>
        <w:t>s</w:t>
      </w:r>
    </w:p>
    <w:p w14:paraId="6024779C" w14:textId="77777777" w:rsidR="00F833BF" w:rsidRPr="00B6473A" w:rsidRDefault="00F833BF" w:rsidP="00F833BF">
      <w:pPr>
        <w:pStyle w:val="ListParagraph"/>
        <w:numPr>
          <w:ilvl w:val="1"/>
          <w:numId w:val="4"/>
        </w:numPr>
        <w:spacing w:after="0" w:line="360" w:lineRule="auto"/>
        <w:ind w:left="993"/>
        <w:contextualSpacing w:val="0"/>
        <w:jc w:val="both"/>
        <w:rPr>
          <w:rFonts w:ascii="Tahoma" w:hAnsi="Tahoma" w:cs="Tahoma"/>
          <w:sz w:val="24"/>
          <w:szCs w:val="24"/>
        </w:rPr>
      </w:pPr>
      <w:r w:rsidRPr="00B47833">
        <w:rPr>
          <w:rFonts w:ascii="Tahoma" w:hAnsi="Tahoma" w:cs="Tahoma"/>
          <w:sz w:val="24"/>
          <w:szCs w:val="24"/>
        </w:rPr>
        <w:t xml:space="preserve">For GSO/NGSO-based MSS </w:t>
      </w:r>
      <w:r>
        <w:rPr>
          <w:rFonts w:ascii="Tahoma" w:hAnsi="Tahoma" w:cs="Tahoma"/>
          <w:sz w:val="24"/>
          <w:szCs w:val="24"/>
        </w:rPr>
        <w:t xml:space="preserve">- </w:t>
      </w:r>
      <w:r w:rsidRPr="00B6473A">
        <w:rPr>
          <w:rFonts w:ascii="Tahoma" w:hAnsi="Tahoma" w:cs="Tahoma"/>
          <w:sz w:val="24"/>
          <w:szCs w:val="24"/>
        </w:rPr>
        <w:t xml:space="preserve">L </w:t>
      </w:r>
      <w:r>
        <w:rPr>
          <w:rFonts w:ascii="Tahoma" w:hAnsi="Tahoma" w:cs="Tahoma"/>
          <w:sz w:val="24"/>
          <w:szCs w:val="24"/>
        </w:rPr>
        <w:t xml:space="preserve">and </w:t>
      </w:r>
      <w:r w:rsidRPr="00B6473A">
        <w:rPr>
          <w:rFonts w:ascii="Tahoma" w:hAnsi="Tahoma" w:cs="Tahoma"/>
          <w:sz w:val="24"/>
          <w:szCs w:val="24"/>
        </w:rPr>
        <w:t>S band</w:t>
      </w:r>
      <w:r>
        <w:rPr>
          <w:rFonts w:ascii="Tahoma" w:hAnsi="Tahoma" w:cs="Tahoma"/>
          <w:sz w:val="24"/>
          <w:szCs w:val="24"/>
        </w:rPr>
        <w:t>s</w:t>
      </w:r>
      <w:r w:rsidRPr="00B6473A">
        <w:rPr>
          <w:rFonts w:ascii="Tahoma" w:hAnsi="Tahoma" w:cs="Tahoma"/>
          <w:sz w:val="24"/>
          <w:szCs w:val="24"/>
        </w:rPr>
        <w:t xml:space="preserve"> for user links; </w:t>
      </w:r>
      <w:proofErr w:type="gramStart"/>
      <w:r w:rsidRPr="00B6473A">
        <w:rPr>
          <w:rFonts w:ascii="Tahoma" w:hAnsi="Tahoma" w:cs="Tahoma"/>
          <w:sz w:val="24"/>
          <w:szCs w:val="24"/>
        </w:rPr>
        <w:t>and</w:t>
      </w:r>
      <w:r>
        <w:rPr>
          <w:rFonts w:ascii="Tahoma" w:hAnsi="Tahoma" w:cs="Tahoma"/>
          <w:sz w:val="24"/>
          <w:szCs w:val="24"/>
        </w:rPr>
        <w:t xml:space="preserve"> </w:t>
      </w:r>
      <w:r w:rsidRPr="00B6473A">
        <w:rPr>
          <w:rFonts w:ascii="Tahoma" w:hAnsi="Tahoma" w:cs="Tahoma"/>
          <w:sz w:val="24"/>
          <w:szCs w:val="24"/>
        </w:rPr>
        <w:t xml:space="preserve"> C</w:t>
      </w:r>
      <w:proofErr w:type="gramEnd"/>
      <w:r w:rsidRPr="00B6473A">
        <w:rPr>
          <w:rFonts w:ascii="Tahoma" w:hAnsi="Tahoma" w:cs="Tahoma"/>
          <w:sz w:val="24"/>
          <w:szCs w:val="24"/>
        </w:rPr>
        <w:t>, Ku, Ka and Q/V band</w:t>
      </w:r>
      <w:r>
        <w:rPr>
          <w:rFonts w:ascii="Tahoma" w:hAnsi="Tahoma" w:cs="Tahoma"/>
          <w:sz w:val="24"/>
          <w:szCs w:val="24"/>
        </w:rPr>
        <w:t>s</w:t>
      </w:r>
      <w:r w:rsidRPr="00B6473A">
        <w:rPr>
          <w:rFonts w:ascii="Tahoma" w:hAnsi="Tahoma" w:cs="Tahoma"/>
          <w:sz w:val="24"/>
          <w:szCs w:val="24"/>
        </w:rPr>
        <w:t xml:space="preserve"> for feeder links </w:t>
      </w:r>
    </w:p>
    <w:p w14:paraId="720D78EB" w14:textId="77777777" w:rsidR="00F833BF" w:rsidRPr="00B47833" w:rsidRDefault="00F833BF" w:rsidP="00F833BF">
      <w:pPr>
        <w:pStyle w:val="ListParagraph"/>
        <w:numPr>
          <w:ilvl w:val="0"/>
          <w:numId w:val="7"/>
        </w:numPr>
        <w:spacing w:after="0" w:line="360" w:lineRule="auto"/>
        <w:jc w:val="both"/>
        <w:rPr>
          <w:rFonts w:ascii="Tahoma" w:hAnsi="Tahoma" w:cs="Tahoma"/>
          <w:sz w:val="24"/>
          <w:szCs w:val="24"/>
        </w:rPr>
      </w:pPr>
      <w:r w:rsidRPr="00B47833">
        <w:rPr>
          <w:rFonts w:ascii="Tahoma" w:hAnsi="Tahoma" w:cs="Tahoma"/>
          <w:sz w:val="24"/>
          <w:szCs w:val="24"/>
        </w:rPr>
        <w:t>Terms and conditions including prices remain valid for a period of five years from the date of notification of the policy regime, further extendable by a period of up</w:t>
      </w:r>
      <w:r>
        <w:rPr>
          <w:rFonts w:ascii="Tahoma" w:hAnsi="Tahoma" w:cs="Tahoma"/>
          <w:sz w:val="24"/>
          <w:szCs w:val="24"/>
        </w:rPr>
        <w:t xml:space="preserve"> </w:t>
      </w:r>
      <w:r w:rsidRPr="00B47833">
        <w:rPr>
          <w:rFonts w:ascii="Tahoma" w:hAnsi="Tahoma" w:cs="Tahoma"/>
          <w:sz w:val="24"/>
          <w:szCs w:val="24"/>
        </w:rPr>
        <w:t xml:space="preserve">to two years. </w:t>
      </w:r>
    </w:p>
    <w:p w14:paraId="09E4BE6B"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47833">
        <w:rPr>
          <w:rFonts w:ascii="Tahoma" w:hAnsi="Tahoma" w:cs="Tahoma"/>
          <w:sz w:val="24"/>
          <w:szCs w:val="24"/>
        </w:rPr>
        <w:t>To control interference, the relevant provisions of ITU-RR should be made applicable</w:t>
      </w:r>
      <w:r>
        <w:rPr>
          <w:rFonts w:ascii="Tahoma" w:hAnsi="Tahoma" w:cs="Tahoma"/>
          <w:sz w:val="24"/>
          <w:szCs w:val="24"/>
        </w:rPr>
        <w:t xml:space="preserve">. </w:t>
      </w:r>
      <w:r w:rsidRPr="00B47833">
        <w:rPr>
          <w:rFonts w:ascii="Tahoma" w:hAnsi="Tahoma" w:cs="Tahoma"/>
          <w:sz w:val="24"/>
          <w:szCs w:val="24"/>
        </w:rPr>
        <w:t xml:space="preserve"> </w:t>
      </w:r>
    </w:p>
    <w:p w14:paraId="2769C9D7"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6473A">
        <w:rPr>
          <w:rFonts w:ascii="Tahoma" w:hAnsi="Tahoma" w:cs="Tahoma"/>
          <w:sz w:val="24"/>
          <w:szCs w:val="24"/>
        </w:rPr>
        <w:t>For establishment and operation of satellite earth station gateways, the authorised entities should be mandated to coordinate among themselves in good faith.</w:t>
      </w:r>
    </w:p>
    <w:p w14:paraId="20711513" w14:textId="77777777" w:rsidR="00F833BF" w:rsidRPr="00B6473A" w:rsidRDefault="00F833BF" w:rsidP="00F833BF">
      <w:pPr>
        <w:pStyle w:val="ListParagraph"/>
        <w:numPr>
          <w:ilvl w:val="0"/>
          <w:numId w:val="7"/>
        </w:numPr>
        <w:spacing w:after="0" w:line="360" w:lineRule="auto"/>
        <w:jc w:val="both"/>
        <w:rPr>
          <w:rFonts w:ascii="Tahoma" w:hAnsi="Tahoma" w:cs="Tahoma"/>
          <w:sz w:val="24"/>
          <w:szCs w:val="24"/>
        </w:rPr>
      </w:pPr>
      <w:r w:rsidRPr="00B6473A">
        <w:rPr>
          <w:rFonts w:ascii="Tahoma" w:hAnsi="Tahoma" w:cs="Tahoma"/>
          <w:sz w:val="24"/>
          <w:szCs w:val="24"/>
        </w:rPr>
        <w:t>Spectrum charges –</w:t>
      </w:r>
      <w:r>
        <w:rPr>
          <w:rFonts w:ascii="Tahoma" w:hAnsi="Tahoma" w:cs="Tahoma"/>
          <w:sz w:val="24"/>
          <w:szCs w:val="24"/>
        </w:rPr>
        <w:t xml:space="preserve"> </w:t>
      </w:r>
      <w:r w:rsidRPr="00B47833">
        <w:rPr>
          <w:rFonts w:ascii="Tahoma" w:hAnsi="Tahoma" w:cs="Tahoma"/>
          <w:sz w:val="24"/>
          <w:szCs w:val="24"/>
        </w:rPr>
        <w:t>subject to minimum annual spectrum charge of Rs. 3,500</w:t>
      </w:r>
      <w:r>
        <w:rPr>
          <w:rFonts w:ascii="Tahoma" w:hAnsi="Tahoma" w:cs="Tahoma"/>
          <w:sz w:val="24"/>
          <w:szCs w:val="24"/>
        </w:rPr>
        <w:t>/</w:t>
      </w:r>
      <w:r w:rsidRPr="00B47833">
        <w:rPr>
          <w:rFonts w:ascii="Tahoma" w:hAnsi="Tahoma" w:cs="Tahoma"/>
          <w:sz w:val="24"/>
          <w:szCs w:val="24"/>
        </w:rPr>
        <w:t>MHz</w:t>
      </w:r>
      <w:r w:rsidRPr="00B6473A">
        <w:rPr>
          <w:rFonts w:ascii="Tahoma" w:hAnsi="Tahoma" w:cs="Tahoma"/>
          <w:sz w:val="24"/>
          <w:szCs w:val="24"/>
        </w:rPr>
        <w:t xml:space="preserve"> </w:t>
      </w:r>
    </w:p>
    <w:p w14:paraId="2D4236D2" w14:textId="77777777" w:rsidR="00F833BF" w:rsidRPr="00B47833" w:rsidRDefault="00F833BF" w:rsidP="00F833BF">
      <w:pPr>
        <w:pStyle w:val="ListParagraph"/>
        <w:numPr>
          <w:ilvl w:val="2"/>
          <w:numId w:val="4"/>
        </w:numPr>
        <w:spacing w:after="0" w:line="360" w:lineRule="auto"/>
        <w:ind w:left="993" w:hanging="283"/>
        <w:contextualSpacing w:val="0"/>
        <w:jc w:val="both"/>
        <w:rPr>
          <w:rFonts w:ascii="Tahoma" w:hAnsi="Tahoma" w:cs="Tahoma"/>
          <w:sz w:val="24"/>
          <w:szCs w:val="24"/>
        </w:rPr>
      </w:pPr>
      <w:r w:rsidRPr="00B47833">
        <w:rPr>
          <w:rFonts w:ascii="Tahoma" w:hAnsi="Tahoma" w:cs="Tahoma"/>
          <w:sz w:val="24"/>
          <w:szCs w:val="24"/>
        </w:rPr>
        <w:t>GSO-based FSS: 4% of AGR.</w:t>
      </w:r>
    </w:p>
    <w:p w14:paraId="603DE39D" w14:textId="77777777" w:rsidR="00F833BF" w:rsidRPr="00B47833" w:rsidRDefault="00F833BF" w:rsidP="00F833BF">
      <w:pPr>
        <w:pStyle w:val="ListParagraph"/>
        <w:numPr>
          <w:ilvl w:val="2"/>
          <w:numId w:val="4"/>
        </w:numPr>
        <w:spacing w:after="0" w:line="360" w:lineRule="auto"/>
        <w:ind w:left="993" w:hanging="283"/>
        <w:contextualSpacing w:val="0"/>
        <w:jc w:val="both"/>
        <w:rPr>
          <w:rFonts w:ascii="Tahoma" w:hAnsi="Tahoma" w:cs="Tahoma"/>
          <w:sz w:val="24"/>
          <w:szCs w:val="24"/>
        </w:rPr>
      </w:pPr>
      <w:r w:rsidRPr="00B47833">
        <w:rPr>
          <w:rFonts w:ascii="Tahoma" w:hAnsi="Tahoma" w:cs="Tahoma"/>
          <w:sz w:val="24"/>
          <w:szCs w:val="24"/>
        </w:rPr>
        <w:t>NGSO-based FSS: 4% of AGR Plus Rs. 500/subscriber/annum in urban areas</w:t>
      </w:r>
    </w:p>
    <w:p w14:paraId="4151E942" w14:textId="77777777" w:rsidR="00F833BF" w:rsidRDefault="00F833BF" w:rsidP="00F833BF">
      <w:pPr>
        <w:pStyle w:val="ListParagraph"/>
        <w:numPr>
          <w:ilvl w:val="2"/>
          <w:numId w:val="4"/>
        </w:numPr>
        <w:spacing w:after="0" w:line="360" w:lineRule="auto"/>
        <w:ind w:left="993" w:hanging="283"/>
        <w:contextualSpacing w:val="0"/>
        <w:jc w:val="both"/>
        <w:rPr>
          <w:rFonts w:ascii="Tahoma" w:hAnsi="Tahoma" w:cs="Tahoma"/>
          <w:sz w:val="24"/>
          <w:szCs w:val="24"/>
        </w:rPr>
      </w:pPr>
      <w:r w:rsidRPr="00B47833">
        <w:rPr>
          <w:rFonts w:ascii="Tahoma" w:hAnsi="Tahoma" w:cs="Tahoma"/>
          <w:sz w:val="24"/>
          <w:szCs w:val="24"/>
        </w:rPr>
        <w:t>GSO/ NGSO-based MSS: 4% of AGR</w:t>
      </w:r>
    </w:p>
    <w:p w14:paraId="3263160C" w14:textId="77777777" w:rsidR="004B1C92" w:rsidRDefault="004B1C92" w:rsidP="004B1C92">
      <w:pPr>
        <w:pStyle w:val="ListParagraph"/>
        <w:spacing w:after="0" w:line="360" w:lineRule="auto"/>
        <w:ind w:left="1800"/>
        <w:contextualSpacing w:val="0"/>
        <w:jc w:val="both"/>
        <w:rPr>
          <w:rFonts w:ascii="Tahoma" w:hAnsi="Tahoma" w:cs="Tahoma"/>
          <w:sz w:val="24"/>
          <w:szCs w:val="24"/>
        </w:rPr>
      </w:pPr>
    </w:p>
    <w:p w14:paraId="2408CBD3" w14:textId="77777777" w:rsidR="004B1C92" w:rsidRPr="00B47833" w:rsidRDefault="004B1C92" w:rsidP="004B1C92">
      <w:pPr>
        <w:pStyle w:val="ListParagraph"/>
        <w:spacing w:after="0" w:line="360" w:lineRule="auto"/>
        <w:ind w:left="1800"/>
        <w:contextualSpacing w:val="0"/>
        <w:jc w:val="both"/>
        <w:rPr>
          <w:rFonts w:ascii="Tahoma" w:hAnsi="Tahoma" w:cs="Tahoma"/>
          <w:sz w:val="24"/>
          <w:szCs w:val="24"/>
        </w:rPr>
      </w:pPr>
    </w:p>
    <w:p w14:paraId="7E6E600A" w14:textId="77777777" w:rsidR="00F833BF" w:rsidRDefault="00F833BF" w:rsidP="00F833BF">
      <w:pPr>
        <w:rPr>
          <w:rFonts w:ascii="Tahoma" w:hAnsi="Tahoma" w:cs="Tahoma"/>
          <w:sz w:val="24"/>
          <w:szCs w:val="24"/>
        </w:rPr>
      </w:pPr>
    </w:p>
    <w:p w14:paraId="6B676261" w14:textId="77777777" w:rsidR="00F833BF" w:rsidRPr="00B47833" w:rsidRDefault="00F833BF" w:rsidP="00F833BF">
      <w:pPr>
        <w:pStyle w:val="ListParagraph"/>
        <w:numPr>
          <w:ilvl w:val="0"/>
          <w:numId w:val="2"/>
        </w:numPr>
        <w:spacing w:line="360" w:lineRule="auto"/>
        <w:ind w:left="426" w:hanging="491"/>
        <w:jc w:val="both"/>
        <w:rPr>
          <w:rFonts w:ascii="Tahoma" w:hAnsi="Tahoma" w:cs="Tahoma"/>
          <w:b/>
          <w:bCs/>
          <w:sz w:val="24"/>
          <w:szCs w:val="24"/>
          <w:u w:val="single"/>
        </w:rPr>
      </w:pPr>
      <w:r w:rsidRPr="00B47833">
        <w:rPr>
          <w:rFonts w:ascii="Tahoma" w:hAnsi="Tahoma" w:cs="Tahoma"/>
          <w:b/>
          <w:bCs/>
          <w:sz w:val="24"/>
          <w:szCs w:val="24"/>
          <w:u w:val="single"/>
        </w:rPr>
        <w:t>Migration of licenses</w:t>
      </w:r>
    </w:p>
    <w:p w14:paraId="78362217" w14:textId="77777777" w:rsidR="00F833BF" w:rsidRDefault="00F833BF" w:rsidP="00F833BF">
      <w:pPr>
        <w:pStyle w:val="ListParagraph"/>
        <w:numPr>
          <w:ilvl w:val="0"/>
          <w:numId w:val="7"/>
        </w:numPr>
        <w:spacing w:after="0" w:line="360" w:lineRule="auto"/>
        <w:jc w:val="both"/>
        <w:rPr>
          <w:rFonts w:ascii="Tahoma" w:hAnsi="Tahoma" w:cs="Tahoma"/>
          <w:b/>
          <w:bCs/>
          <w:sz w:val="24"/>
          <w:szCs w:val="24"/>
        </w:rPr>
      </w:pPr>
      <w:r w:rsidRPr="00B47833">
        <w:rPr>
          <w:rFonts w:ascii="Tahoma" w:hAnsi="Tahoma" w:cs="Tahoma"/>
          <w:sz w:val="24"/>
          <w:szCs w:val="24"/>
        </w:rPr>
        <w:t xml:space="preserve">Through </w:t>
      </w:r>
      <w:r w:rsidRPr="00B47833">
        <w:rPr>
          <w:rFonts w:ascii="Tahoma" w:hAnsi="Tahoma" w:cs="Tahoma"/>
          <w:color w:val="000000"/>
          <w:kern w:val="2"/>
          <w:sz w:val="24"/>
          <w:szCs w:val="24"/>
          <w14:ligatures w14:val="standardContextual"/>
        </w:rPr>
        <w:t>the</w:t>
      </w:r>
      <w:r w:rsidRPr="00B47833">
        <w:rPr>
          <w:rFonts w:ascii="Tahoma" w:hAnsi="Tahoma" w:cs="Tahoma"/>
          <w:sz w:val="24"/>
          <w:szCs w:val="24"/>
        </w:rPr>
        <w:t xml:space="preserve"> recommendations on the ‘Framework for Service Authorisations to be Granted Under the Telecommunications Act, 2023’ dated 18.09.2024, framework for permitting smooth migration of existing service providers to the new authorisation regime, on voluntary basis, </w:t>
      </w:r>
      <w:r>
        <w:rPr>
          <w:rFonts w:ascii="Tahoma" w:hAnsi="Tahoma" w:cs="Tahoma"/>
          <w:sz w:val="24"/>
          <w:szCs w:val="24"/>
        </w:rPr>
        <w:t>has been</w:t>
      </w:r>
      <w:r w:rsidRPr="00B47833">
        <w:rPr>
          <w:rFonts w:ascii="Tahoma" w:hAnsi="Tahoma" w:cs="Tahoma"/>
          <w:sz w:val="24"/>
          <w:szCs w:val="24"/>
        </w:rPr>
        <w:t xml:space="preserve"> recommended. </w:t>
      </w:r>
    </w:p>
    <w:p w14:paraId="4FC6BA20" w14:textId="77777777" w:rsidR="00F833BF" w:rsidRPr="00B47833" w:rsidRDefault="00F833BF" w:rsidP="00F833BF">
      <w:pPr>
        <w:pStyle w:val="ListParagraph"/>
        <w:numPr>
          <w:ilvl w:val="0"/>
          <w:numId w:val="2"/>
        </w:numPr>
        <w:spacing w:line="360" w:lineRule="auto"/>
        <w:ind w:left="426" w:hanging="491"/>
        <w:jc w:val="both"/>
        <w:rPr>
          <w:rFonts w:ascii="Tahoma" w:hAnsi="Tahoma" w:cs="Tahoma"/>
          <w:b/>
          <w:bCs/>
          <w:sz w:val="24"/>
          <w:szCs w:val="24"/>
        </w:rPr>
      </w:pPr>
      <w:r w:rsidRPr="00B47833">
        <w:rPr>
          <w:rFonts w:ascii="Tahoma" w:hAnsi="Tahoma" w:cs="Tahoma"/>
          <w:b/>
          <w:bCs/>
          <w:sz w:val="24"/>
          <w:szCs w:val="24"/>
        </w:rPr>
        <w:t>TEC/ TTP</w:t>
      </w:r>
    </w:p>
    <w:p w14:paraId="15DF3B83"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47833">
        <w:rPr>
          <w:rFonts w:ascii="Tahoma" w:hAnsi="Tahoma" w:cs="Tahoma"/>
          <w:sz w:val="24"/>
          <w:szCs w:val="24"/>
        </w:rPr>
        <w:t xml:space="preserve">The Government approved the </w:t>
      </w:r>
      <w:r w:rsidRPr="00B6473A">
        <w:rPr>
          <w:rFonts w:ascii="Tahoma" w:hAnsi="Tahoma" w:cs="Tahoma"/>
          <w:sz w:val="24"/>
          <w:szCs w:val="24"/>
        </w:rPr>
        <w:t>National Security Directive on Telecommunications Sector (NSDTS)</w:t>
      </w:r>
      <w:r>
        <w:rPr>
          <w:rFonts w:ascii="Tahoma" w:hAnsi="Tahoma" w:cs="Tahoma"/>
          <w:sz w:val="24"/>
          <w:szCs w:val="24"/>
        </w:rPr>
        <w:t xml:space="preserve"> </w:t>
      </w:r>
      <w:r w:rsidRPr="00B47833">
        <w:rPr>
          <w:rFonts w:ascii="Tahoma" w:hAnsi="Tahoma" w:cs="Tahoma"/>
          <w:sz w:val="24"/>
          <w:szCs w:val="24"/>
        </w:rPr>
        <w:t>on 16</w:t>
      </w:r>
      <w:r w:rsidRPr="00B47833">
        <w:rPr>
          <w:rFonts w:ascii="Tahoma" w:hAnsi="Tahoma" w:cs="Tahoma"/>
          <w:sz w:val="24"/>
          <w:szCs w:val="24"/>
          <w:vertAlign w:val="superscript"/>
        </w:rPr>
        <w:t>th</w:t>
      </w:r>
      <w:r w:rsidRPr="00B47833">
        <w:rPr>
          <w:rFonts w:ascii="Tahoma" w:hAnsi="Tahoma" w:cs="Tahoma"/>
          <w:sz w:val="24"/>
          <w:szCs w:val="24"/>
        </w:rPr>
        <w:t xml:space="preserve"> December 2020. The policy has come into operation from 15th June 2021.</w:t>
      </w:r>
    </w:p>
    <w:p w14:paraId="2FFADAEC"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47833">
        <w:rPr>
          <w:rFonts w:ascii="Tahoma" w:hAnsi="Tahoma" w:cs="Tahoma"/>
          <w:sz w:val="24"/>
          <w:szCs w:val="24"/>
        </w:rPr>
        <w:t>TEC (Telecommunication Engineering Centre) and NCCS (National Centre for Communication Security), under the DoT are the appropriate Authority for the purpose of Testing and Certification. </w:t>
      </w:r>
    </w:p>
    <w:p w14:paraId="45AD4A67"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6473A">
        <w:rPr>
          <w:rFonts w:ascii="Tahoma" w:hAnsi="Tahoma" w:cs="Tahoma"/>
          <w:sz w:val="24"/>
          <w:szCs w:val="24"/>
        </w:rPr>
        <w:t xml:space="preserve">Telecommunications (Framework to Notify Standards, Conformity Assessment and Certification) Rules, 2025 prescribes for Mandatory Testing and Certification of Telecommunication Equipment. </w:t>
      </w:r>
    </w:p>
    <w:p w14:paraId="240C33E0" w14:textId="77777777" w:rsidR="00F833BF" w:rsidRDefault="00F833BF" w:rsidP="00F833BF">
      <w:pPr>
        <w:pStyle w:val="ListParagraph"/>
        <w:numPr>
          <w:ilvl w:val="0"/>
          <w:numId w:val="7"/>
        </w:numPr>
        <w:spacing w:after="0" w:line="360" w:lineRule="auto"/>
        <w:jc w:val="both"/>
        <w:rPr>
          <w:rFonts w:ascii="Tahoma" w:hAnsi="Tahoma" w:cs="Tahoma"/>
          <w:sz w:val="24"/>
          <w:szCs w:val="24"/>
        </w:rPr>
      </w:pPr>
      <w:r w:rsidRPr="00B6473A">
        <w:rPr>
          <w:rFonts w:ascii="Tahoma" w:hAnsi="Tahoma" w:cs="Tahoma"/>
          <w:sz w:val="24"/>
          <w:szCs w:val="24"/>
        </w:rPr>
        <w:t xml:space="preserve">The DoT launched the Trusted Telecom Portal (trustedtelecom.gov.in) to facilitate compliance of NSDTS. </w:t>
      </w:r>
    </w:p>
    <w:p w14:paraId="032EE5C8" w14:textId="77777777" w:rsidR="00F833BF" w:rsidRPr="00DB0537" w:rsidRDefault="00F833BF" w:rsidP="00F833BF">
      <w:pPr>
        <w:spacing w:line="360" w:lineRule="auto"/>
        <w:jc w:val="both"/>
        <w:rPr>
          <w:rFonts w:ascii="Tahoma" w:hAnsi="Tahoma" w:cs="Tahoma"/>
          <w:sz w:val="24"/>
          <w:szCs w:val="24"/>
        </w:rPr>
      </w:pPr>
    </w:p>
    <w:p w14:paraId="3931CF1F" w14:textId="77777777" w:rsidR="00F833BF" w:rsidRPr="00B47833" w:rsidRDefault="00F833BF" w:rsidP="00F833BF">
      <w:pPr>
        <w:pStyle w:val="ListParagraph"/>
        <w:numPr>
          <w:ilvl w:val="0"/>
          <w:numId w:val="2"/>
        </w:numPr>
        <w:spacing w:after="0" w:line="360" w:lineRule="auto"/>
        <w:ind w:left="426" w:hanging="491"/>
        <w:contextualSpacing w:val="0"/>
        <w:jc w:val="both"/>
        <w:rPr>
          <w:rFonts w:ascii="Tahoma" w:hAnsi="Tahoma" w:cs="Tahoma"/>
          <w:b/>
          <w:bCs/>
          <w:sz w:val="24"/>
          <w:szCs w:val="24"/>
        </w:rPr>
      </w:pPr>
      <w:r w:rsidRPr="00B47833">
        <w:rPr>
          <w:rFonts w:ascii="Tahoma" w:hAnsi="Tahoma" w:cs="Tahoma"/>
          <w:b/>
          <w:bCs/>
          <w:sz w:val="24"/>
          <w:szCs w:val="24"/>
        </w:rPr>
        <w:t>Direct to Mobile (D2M)</w:t>
      </w:r>
    </w:p>
    <w:p w14:paraId="46E3AB36" w14:textId="77777777" w:rsidR="00F833BF" w:rsidRPr="00B47833" w:rsidRDefault="00F833BF" w:rsidP="00F833BF">
      <w:pPr>
        <w:pStyle w:val="ListParagraph"/>
        <w:numPr>
          <w:ilvl w:val="0"/>
          <w:numId w:val="7"/>
        </w:numPr>
        <w:spacing w:after="0" w:line="360" w:lineRule="auto"/>
        <w:jc w:val="both"/>
        <w:rPr>
          <w:rFonts w:ascii="Tahoma" w:hAnsi="Tahoma" w:cs="Tahoma"/>
          <w:b/>
          <w:bCs/>
          <w:sz w:val="24"/>
          <w:szCs w:val="24"/>
        </w:rPr>
      </w:pPr>
      <w:r w:rsidRPr="00B47833">
        <w:rPr>
          <w:rFonts w:ascii="Tahoma" w:hAnsi="Tahoma" w:cs="Tahoma"/>
          <w:sz w:val="24"/>
          <w:szCs w:val="24"/>
        </w:rPr>
        <w:t xml:space="preserve">TRAI in the Recommendations on the ‘the Framework for Service Authorisations to be Granted Under the Telecommunications Act, 2023’ dated 18.11.2025 recommended that - </w:t>
      </w:r>
    </w:p>
    <w:p w14:paraId="272C0405" w14:textId="77777777" w:rsidR="00F833BF" w:rsidRPr="00B47833" w:rsidRDefault="00F833BF" w:rsidP="00F833BF">
      <w:pPr>
        <w:pStyle w:val="ListParagraph"/>
        <w:spacing w:line="360" w:lineRule="auto"/>
        <w:ind w:left="360"/>
        <w:jc w:val="both"/>
        <w:rPr>
          <w:rFonts w:ascii="Tahoma" w:hAnsi="Tahoma" w:cs="Tahoma"/>
          <w:i/>
          <w:iCs/>
          <w:sz w:val="24"/>
          <w:szCs w:val="24"/>
          <w:u w:val="single"/>
        </w:rPr>
      </w:pPr>
      <w:r w:rsidRPr="00B47833">
        <w:rPr>
          <w:rFonts w:ascii="Tahoma" w:hAnsi="Tahoma" w:cs="Tahoma"/>
          <w:i/>
          <w:iCs/>
          <w:sz w:val="24"/>
          <w:szCs w:val="24"/>
          <w:u w:val="single"/>
        </w:rPr>
        <w:t>“For providing the service, use of Non-Terrestrial Network (NTN) shall be permitted to the Access Service authorised entity and Unified Service authorised entity.”</w:t>
      </w:r>
    </w:p>
    <w:p w14:paraId="5EA2FFA4" w14:textId="77777777" w:rsidR="00F833BF" w:rsidRPr="00B6473A" w:rsidRDefault="00F833BF" w:rsidP="00F833BF">
      <w:pPr>
        <w:pStyle w:val="ListParagraph"/>
        <w:numPr>
          <w:ilvl w:val="0"/>
          <w:numId w:val="7"/>
        </w:numPr>
        <w:spacing w:after="0" w:line="360" w:lineRule="auto"/>
        <w:jc w:val="both"/>
        <w:rPr>
          <w:rFonts w:ascii="Tahoma" w:hAnsi="Tahoma" w:cs="Tahoma"/>
          <w:sz w:val="24"/>
          <w:szCs w:val="24"/>
        </w:rPr>
      </w:pPr>
      <w:r w:rsidRPr="00B6473A">
        <w:rPr>
          <w:rFonts w:ascii="Tahoma" w:hAnsi="Tahoma" w:cs="Tahoma"/>
          <w:sz w:val="24"/>
          <w:szCs w:val="24"/>
        </w:rPr>
        <w:t xml:space="preserve">In the Recommendations dated 18.11.2024, it was </w:t>
      </w:r>
      <w:r w:rsidRPr="00B6473A">
        <w:rPr>
          <w:rFonts w:ascii="Tahoma" w:hAnsi="Tahoma" w:cs="Tahoma"/>
          <w:sz w:val="24"/>
          <w:szCs w:val="24"/>
          <w:u w:val="single"/>
        </w:rPr>
        <w:t>clarified that the emergency SOS messaging services via Satellite using MSS frequencies is covered under the scope of extant GMPCS authorisation</w:t>
      </w:r>
      <w:r w:rsidRPr="00B6473A">
        <w:rPr>
          <w:rFonts w:ascii="Tahoma" w:hAnsi="Tahoma" w:cs="Tahoma"/>
          <w:sz w:val="24"/>
          <w:szCs w:val="24"/>
        </w:rPr>
        <w:t xml:space="preserve"> under Unified License</w:t>
      </w:r>
      <w:r>
        <w:rPr>
          <w:rFonts w:ascii="Tahoma" w:hAnsi="Tahoma" w:cs="Tahoma"/>
          <w:sz w:val="24"/>
          <w:szCs w:val="24"/>
        </w:rPr>
        <w:t>.</w:t>
      </w:r>
    </w:p>
    <w:p w14:paraId="4AC129F7" w14:textId="5E623148" w:rsidR="00F833BF" w:rsidRPr="00F94C3B" w:rsidRDefault="00F833BF" w:rsidP="00F833BF">
      <w:pPr>
        <w:pStyle w:val="ListParagraph"/>
        <w:numPr>
          <w:ilvl w:val="0"/>
          <w:numId w:val="7"/>
        </w:numPr>
        <w:spacing w:after="0" w:line="360" w:lineRule="auto"/>
        <w:jc w:val="both"/>
        <w:rPr>
          <w:rFonts w:ascii="Tahoma" w:hAnsi="Tahoma" w:cs="Tahoma"/>
          <w:sz w:val="24"/>
          <w:szCs w:val="24"/>
        </w:rPr>
      </w:pPr>
      <w:r w:rsidRPr="00B47833">
        <w:rPr>
          <w:rFonts w:ascii="Tahoma" w:hAnsi="Tahoma" w:cs="Tahoma"/>
          <w:sz w:val="24"/>
          <w:szCs w:val="24"/>
        </w:rPr>
        <w:t>As on date, there is no specific framework for Direct-to-Mobile service from satellite.</w:t>
      </w:r>
      <w:r w:rsidRPr="00F94C3B">
        <w:rPr>
          <w:rFonts w:ascii="Tahoma" w:hAnsi="Tahoma" w:cs="Tahoma"/>
          <w:sz w:val="24"/>
          <w:szCs w:val="24"/>
        </w:rPr>
        <w:br w:type="page"/>
      </w:r>
    </w:p>
    <w:p w14:paraId="6F73BAED" w14:textId="77777777" w:rsidR="00F833BF" w:rsidRPr="00B47833" w:rsidRDefault="00F833BF" w:rsidP="00F833BF">
      <w:pPr>
        <w:pStyle w:val="ListParagraph"/>
        <w:numPr>
          <w:ilvl w:val="0"/>
          <w:numId w:val="1"/>
        </w:numPr>
        <w:spacing w:after="0" w:line="360" w:lineRule="auto"/>
        <w:ind w:left="357"/>
        <w:contextualSpacing w:val="0"/>
        <w:jc w:val="both"/>
        <w:rPr>
          <w:rFonts w:ascii="Tahoma" w:hAnsi="Tahoma" w:cs="Tahoma"/>
          <w:b/>
          <w:bCs/>
          <w:sz w:val="24"/>
          <w:szCs w:val="24"/>
        </w:rPr>
      </w:pPr>
      <w:r w:rsidRPr="00B47833">
        <w:rPr>
          <w:rFonts w:ascii="Tahoma" w:hAnsi="Tahoma" w:cs="Tahoma"/>
          <w:b/>
          <w:bCs/>
          <w:sz w:val="24"/>
          <w:szCs w:val="24"/>
        </w:rPr>
        <w:lastRenderedPageBreak/>
        <w:t>6G: Spectrum sharing, licensing etc.</w:t>
      </w:r>
    </w:p>
    <w:p w14:paraId="45D6F9E7" w14:textId="77777777" w:rsidR="00F833BF" w:rsidRPr="00DB0537" w:rsidRDefault="00F833BF" w:rsidP="00F833BF">
      <w:pPr>
        <w:pStyle w:val="ListParagraph"/>
        <w:ind w:left="360"/>
        <w:rPr>
          <w:rFonts w:ascii="Tahoma" w:hAnsi="Tahoma" w:cs="Tahoma"/>
          <w:sz w:val="24"/>
          <w:szCs w:val="24"/>
        </w:rPr>
      </w:pPr>
      <w:r w:rsidRPr="00DB0537">
        <w:rPr>
          <w:rFonts w:ascii="Tahoma" w:hAnsi="Tahoma" w:cs="Tahoma"/>
          <w:sz w:val="24"/>
          <w:szCs w:val="24"/>
        </w:rPr>
        <w:t xml:space="preserve">[Details annexed as </w:t>
      </w:r>
      <w:r w:rsidRPr="00DB0537">
        <w:rPr>
          <w:rFonts w:ascii="Tahoma" w:hAnsi="Tahoma" w:cs="Tahoma"/>
          <w:b/>
          <w:bCs/>
          <w:sz w:val="24"/>
          <w:szCs w:val="24"/>
        </w:rPr>
        <w:t>Annexure 2</w:t>
      </w:r>
      <w:r w:rsidRPr="00DB0537">
        <w:rPr>
          <w:rFonts w:ascii="Tahoma" w:hAnsi="Tahoma" w:cs="Tahoma"/>
          <w:sz w:val="24"/>
          <w:szCs w:val="24"/>
        </w:rPr>
        <w:t>]</w:t>
      </w:r>
    </w:p>
    <w:p w14:paraId="633DEAA8" w14:textId="77777777" w:rsidR="00F833BF" w:rsidRPr="00B47833" w:rsidRDefault="00F833BF" w:rsidP="00F833BF">
      <w:pPr>
        <w:pStyle w:val="ListParagraph"/>
        <w:spacing w:after="0" w:line="360" w:lineRule="auto"/>
        <w:ind w:left="0"/>
        <w:contextualSpacing w:val="0"/>
        <w:jc w:val="both"/>
        <w:rPr>
          <w:rFonts w:ascii="Tahoma" w:hAnsi="Tahoma" w:cs="Tahoma"/>
          <w:b/>
          <w:bCs/>
          <w:sz w:val="24"/>
          <w:szCs w:val="24"/>
        </w:rPr>
      </w:pPr>
    </w:p>
    <w:p w14:paraId="596023C5" w14:textId="77777777" w:rsidR="00F833BF" w:rsidRPr="00B47833" w:rsidRDefault="00F833BF" w:rsidP="00F833BF">
      <w:pPr>
        <w:pStyle w:val="ListParagraph"/>
        <w:numPr>
          <w:ilvl w:val="0"/>
          <w:numId w:val="3"/>
        </w:numPr>
        <w:spacing w:after="0" w:line="360" w:lineRule="auto"/>
        <w:ind w:left="426" w:hanging="567"/>
        <w:contextualSpacing w:val="0"/>
        <w:jc w:val="both"/>
        <w:rPr>
          <w:rFonts w:ascii="Tahoma" w:hAnsi="Tahoma" w:cs="Tahoma"/>
          <w:b/>
          <w:bCs/>
          <w:sz w:val="24"/>
          <w:szCs w:val="24"/>
        </w:rPr>
      </w:pPr>
      <w:r w:rsidRPr="00B47833">
        <w:rPr>
          <w:rFonts w:ascii="Tahoma" w:hAnsi="Tahoma" w:cs="Tahoma"/>
          <w:b/>
          <w:bCs/>
          <w:sz w:val="24"/>
          <w:szCs w:val="24"/>
        </w:rPr>
        <w:t>The 6</w:t>
      </w:r>
      <w:r w:rsidRPr="00B47833">
        <w:rPr>
          <w:rFonts w:ascii="Tahoma" w:hAnsi="Tahoma" w:cs="Tahoma"/>
          <w:b/>
          <w:bCs/>
          <w:sz w:val="24"/>
          <w:szCs w:val="24"/>
          <w:vertAlign w:val="superscript"/>
        </w:rPr>
        <w:t>th</w:t>
      </w:r>
      <w:r w:rsidRPr="00B47833">
        <w:rPr>
          <w:rFonts w:ascii="Tahoma" w:hAnsi="Tahoma" w:cs="Tahoma"/>
          <w:b/>
          <w:bCs/>
          <w:sz w:val="24"/>
          <w:szCs w:val="24"/>
        </w:rPr>
        <w:t xml:space="preserve"> Generation Technology</w:t>
      </w:r>
    </w:p>
    <w:p w14:paraId="58491641" w14:textId="77777777" w:rsidR="00F833BF" w:rsidRPr="00B6473A" w:rsidRDefault="00F833BF" w:rsidP="00F833BF">
      <w:pPr>
        <w:pStyle w:val="ListParagraph"/>
        <w:numPr>
          <w:ilvl w:val="0"/>
          <w:numId w:val="6"/>
        </w:numPr>
        <w:spacing w:after="0" w:line="360" w:lineRule="auto"/>
        <w:ind w:left="357" w:hanging="450"/>
        <w:contextualSpacing w:val="0"/>
        <w:jc w:val="both"/>
        <w:rPr>
          <w:rFonts w:ascii="Tahoma" w:hAnsi="Tahoma" w:cs="Tahoma"/>
          <w:sz w:val="24"/>
          <w:szCs w:val="24"/>
        </w:rPr>
      </w:pPr>
      <w:r w:rsidRPr="00B6473A">
        <w:rPr>
          <w:rFonts w:ascii="Tahoma" w:hAnsi="Tahoma" w:cs="Tahoma"/>
          <w:sz w:val="24"/>
          <w:szCs w:val="24"/>
        </w:rPr>
        <w:t xml:space="preserve">The International Telecommunication Union Radio communication Sector (ITU-R) recommendation on "Framework and overall objectives of the future development of IMT for 2030 and beyond" outlines the vision for 6G or IMT-2030 and roadmap for rollout of 6G Technology by 2030. </w:t>
      </w:r>
    </w:p>
    <w:p w14:paraId="06E7A5B7" w14:textId="77777777" w:rsidR="00F833BF" w:rsidRPr="00B47833" w:rsidRDefault="00F833BF" w:rsidP="00F833BF">
      <w:pPr>
        <w:pStyle w:val="ListParagraph"/>
        <w:numPr>
          <w:ilvl w:val="0"/>
          <w:numId w:val="6"/>
        </w:numPr>
        <w:spacing w:after="0" w:line="360" w:lineRule="auto"/>
        <w:ind w:left="357" w:hanging="450"/>
        <w:contextualSpacing w:val="0"/>
        <w:jc w:val="both"/>
        <w:rPr>
          <w:rFonts w:ascii="Tahoma" w:hAnsi="Tahoma" w:cs="Tahoma"/>
          <w:sz w:val="24"/>
          <w:szCs w:val="24"/>
        </w:rPr>
      </w:pPr>
      <w:r w:rsidRPr="00B47833">
        <w:rPr>
          <w:rFonts w:ascii="Tahoma" w:hAnsi="Tahoma" w:cs="Tahoma"/>
          <w:sz w:val="24"/>
          <w:szCs w:val="24"/>
        </w:rPr>
        <w:t xml:space="preserve">The Government released a Bharat 6G Vision Document in March 2023. </w:t>
      </w:r>
    </w:p>
    <w:p w14:paraId="7FCD18BF" w14:textId="77777777" w:rsidR="00F833BF" w:rsidRPr="00B47833"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sidRPr="00B47833">
        <w:rPr>
          <w:rFonts w:ascii="Tahoma" w:hAnsi="Tahoma" w:cs="Tahoma"/>
          <w:sz w:val="24"/>
          <w:szCs w:val="24"/>
        </w:rPr>
        <w:t xml:space="preserve">The Government has taken following initiatives to facilitate the development of 6G </w:t>
      </w:r>
    </w:p>
    <w:p w14:paraId="7A3B4B39" w14:textId="77777777" w:rsidR="00F833BF" w:rsidRPr="00B47833" w:rsidRDefault="00F833BF" w:rsidP="00F833BF">
      <w:pPr>
        <w:pStyle w:val="ListParagraph"/>
        <w:numPr>
          <w:ilvl w:val="0"/>
          <w:numId w:val="5"/>
        </w:numPr>
        <w:spacing w:after="0" w:line="360" w:lineRule="auto"/>
        <w:ind w:left="990" w:hanging="630"/>
        <w:contextualSpacing w:val="0"/>
        <w:jc w:val="both"/>
        <w:rPr>
          <w:rFonts w:ascii="Tahoma" w:hAnsi="Tahoma" w:cs="Tahoma"/>
          <w:sz w:val="24"/>
          <w:szCs w:val="24"/>
        </w:rPr>
      </w:pPr>
      <w:r w:rsidRPr="00B47833">
        <w:rPr>
          <w:rFonts w:ascii="Tahoma" w:hAnsi="Tahoma" w:cs="Tahoma"/>
          <w:sz w:val="24"/>
          <w:szCs w:val="24"/>
        </w:rPr>
        <w:t xml:space="preserve">Established 100 5G labs at academic institutions </w:t>
      </w:r>
    </w:p>
    <w:p w14:paraId="4FC1C304" w14:textId="77777777" w:rsidR="00F833BF" w:rsidRPr="00B47833" w:rsidRDefault="00F833BF" w:rsidP="00F833BF">
      <w:pPr>
        <w:pStyle w:val="ListParagraph"/>
        <w:numPr>
          <w:ilvl w:val="0"/>
          <w:numId w:val="5"/>
        </w:numPr>
        <w:spacing w:after="0" w:line="360" w:lineRule="auto"/>
        <w:ind w:left="990" w:hanging="630"/>
        <w:contextualSpacing w:val="0"/>
        <w:jc w:val="both"/>
        <w:rPr>
          <w:rFonts w:ascii="Tahoma" w:hAnsi="Tahoma" w:cs="Tahoma"/>
          <w:sz w:val="24"/>
          <w:szCs w:val="24"/>
        </w:rPr>
      </w:pPr>
      <w:r w:rsidRPr="00B47833">
        <w:rPr>
          <w:rFonts w:ascii="Tahoma" w:hAnsi="Tahoma" w:cs="Tahoma"/>
          <w:sz w:val="24"/>
          <w:szCs w:val="24"/>
        </w:rPr>
        <w:t>Telecom Technology Development Fund (TTDF) Scheme launched to fund R&amp;D and innovation in telecom technologies</w:t>
      </w:r>
    </w:p>
    <w:p w14:paraId="57634D4A" w14:textId="77777777" w:rsidR="00F833BF" w:rsidRPr="00B47833" w:rsidRDefault="00F833BF" w:rsidP="00F833BF">
      <w:pPr>
        <w:pStyle w:val="ListParagraph"/>
        <w:numPr>
          <w:ilvl w:val="0"/>
          <w:numId w:val="5"/>
        </w:numPr>
        <w:spacing w:after="0" w:line="360" w:lineRule="auto"/>
        <w:ind w:left="990" w:hanging="630"/>
        <w:contextualSpacing w:val="0"/>
        <w:jc w:val="both"/>
        <w:rPr>
          <w:rFonts w:ascii="Tahoma" w:hAnsi="Tahoma" w:cs="Tahoma"/>
          <w:sz w:val="24"/>
          <w:szCs w:val="24"/>
        </w:rPr>
      </w:pPr>
      <w:r w:rsidRPr="00B47833">
        <w:rPr>
          <w:rFonts w:ascii="Tahoma" w:hAnsi="Tahoma" w:cs="Tahoma"/>
          <w:sz w:val="24"/>
          <w:szCs w:val="24"/>
        </w:rPr>
        <w:t xml:space="preserve">Facilitated setting up of ‘Bharat 6G Alliance’ </w:t>
      </w:r>
    </w:p>
    <w:p w14:paraId="1798EBBF" w14:textId="77777777" w:rsidR="00F833BF" w:rsidRPr="00B47833" w:rsidRDefault="00F833BF" w:rsidP="00F833BF">
      <w:pPr>
        <w:pStyle w:val="ListParagraph"/>
        <w:numPr>
          <w:ilvl w:val="0"/>
          <w:numId w:val="5"/>
        </w:numPr>
        <w:spacing w:after="0" w:line="360" w:lineRule="auto"/>
        <w:ind w:left="990" w:hanging="630"/>
        <w:contextualSpacing w:val="0"/>
        <w:jc w:val="both"/>
        <w:rPr>
          <w:rFonts w:ascii="Tahoma" w:hAnsi="Tahoma" w:cs="Tahoma"/>
          <w:sz w:val="24"/>
          <w:szCs w:val="24"/>
        </w:rPr>
      </w:pPr>
      <w:r w:rsidRPr="00B47833">
        <w:rPr>
          <w:rFonts w:ascii="Tahoma" w:hAnsi="Tahoma" w:cs="Tahoma"/>
          <w:sz w:val="24"/>
          <w:szCs w:val="24"/>
        </w:rPr>
        <w:t xml:space="preserve">Technology Innovation Hub (TIH) has been established </w:t>
      </w:r>
    </w:p>
    <w:p w14:paraId="6098CC63" w14:textId="77777777" w:rsidR="00F833BF" w:rsidRPr="00B47833" w:rsidRDefault="00F833BF" w:rsidP="00F833BF">
      <w:pPr>
        <w:spacing w:after="0" w:line="360" w:lineRule="auto"/>
        <w:rPr>
          <w:rFonts w:ascii="Tahoma" w:hAnsi="Tahoma" w:cs="Tahoma"/>
          <w:sz w:val="24"/>
          <w:szCs w:val="24"/>
          <w:cs/>
          <w:lang w:bidi="hi-IN"/>
        </w:rPr>
      </w:pPr>
    </w:p>
    <w:p w14:paraId="60E5CF2D" w14:textId="77777777" w:rsidR="00F833BF" w:rsidRPr="00B47833" w:rsidRDefault="00F833BF" w:rsidP="00F833BF">
      <w:pPr>
        <w:pStyle w:val="ListParagraph"/>
        <w:numPr>
          <w:ilvl w:val="0"/>
          <w:numId w:val="3"/>
        </w:numPr>
        <w:spacing w:after="0" w:line="360" w:lineRule="auto"/>
        <w:ind w:left="426" w:hanging="567"/>
        <w:contextualSpacing w:val="0"/>
        <w:jc w:val="both"/>
        <w:rPr>
          <w:rFonts w:ascii="Tahoma" w:hAnsi="Tahoma" w:cs="Tahoma"/>
          <w:b/>
          <w:bCs/>
          <w:sz w:val="24"/>
          <w:szCs w:val="24"/>
        </w:rPr>
      </w:pPr>
      <w:r w:rsidRPr="00B47833">
        <w:rPr>
          <w:rFonts w:ascii="Tahoma" w:hAnsi="Tahoma" w:cs="Tahoma"/>
          <w:b/>
          <w:bCs/>
          <w:sz w:val="24"/>
          <w:szCs w:val="24"/>
        </w:rPr>
        <w:t>Spectrum sharing</w:t>
      </w:r>
    </w:p>
    <w:p w14:paraId="6B49C9B0" w14:textId="77777777" w:rsidR="00F833BF"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sidRPr="00B47833">
        <w:rPr>
          <w:rFonts w:ascii="Tahoma" w:hAnsi="Tahoma" w:cs="Tahoma"/>
          <w:sz w:val="24"/>
          <w:szCs w:val="24"/>
        </w:rPr>
        <w:t xml:space="preserve">At present, spectrum trading and intra-band spectrum sharing are permitted in the country. </w:t>
      </w:r>
    </w:p>
    <w:p w14:paraId="08CB44B3" w14:textId="77777777" w:rsidR="00F833BF" w:rsidRPr="00B6473A"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sidRPr="00B6473A">
        <w:rPr>
          <w:rFonts w:ascii="Tahoma" w:hAnsi="Tahoma" w:cs="Tahoma"/>
          <w:sz w:val="24"/>
          <w:szCs w:val="24"/>
        </w:rPr>
        <w:t xml:space="preserve">For a more efficient utilization of the scarce spectrum, in April 2024, TRAI released Recommendations on 'Telecommunication Infrastructure Sharing, Spectrum Sharing, and Spectrum Leasing'. Through this recommendation, TRAI recommended spectrum leasing and inter-band spectrum sharing also be permitted. </w:t>
      </w:r>
    </w:p>
    <w:p w14:paraId="79173FE5" w14:textId="77777777" w:rsidR="00F833BF" w:rsidRPr="00B47833" w:rsidRDefault="00F833BF" w:rsidP="00F833BF">
      <w:pPr>
        <w:pStyle w:val="ListParagraph"/>
        <w:spacing w:after="0" w:line="360" w:lineRule="auto"/>
        <w:ind w:left="709"/>
        <w:contextualSpacing w:val="0"/>
        <w:jc w:val="both"/>
        <w:rPr>
          <w:rFonts w:ascii="Tahoma" w:hAnsi="Tahoma" w:cs="Tahoma"/>
          <w:sz w:val="24"/>
          <w:szCs w:val="24"/>
        </w:rPr>
      </w:pPr>
    </w:p>
    <w:p w14:paraId="0BFB2F3A" w14:textId="77777777" w:rsidR="00F833BF" w:rsidRPr="00B47833" w:rsidRDefault="00F833BF" w:rsidP="00F833BF">
      <w:pPr>
        <w:pStyle w:val="ListParagraph"/>
        <w:numPr>
          <w:ilvl w:val="0"/>
          <w:numId w:val="3"/>
        </w:numPr>
        <w:spacing w:after="0" w:line="360" w:lineRule="auto"/>
        <w:ind w:left="426" w:hanging="567"/>
        <w:contextualSpacing w:val="0"/>
        <w:jc w:val="both"/>
        <w:rPr>
          <w:rFonts w:ascii="Tahoma" w:hAnsi="Tahoma" w:cs="Tahoma"/>
          <w:b/>
          <w:bCs/>
          <w:sz w:val="24"/>
          <w:szCs w:val="24"/>
        </w:rPr>
      </w:pPr>
      <w:r w:rsidRPr="00B47833">
        <w:rPr>
          <w:rFonts w:ascii="Tahoma" w:hAnsi="Tahoma" w:cs="Tahoma"/>
          <w:b/>
          <w:bCs/>
          <w:sz w:val="24"/>
          <w:szCs w:val="24"/>
        </w:rPr>
        <w:t xml:space="preserve">Spectrum Licenses </w:t>
      </w:r>
    </w:p>
    <w:p w14:paraId="3E4F8170" w14:textId="77777777" w:rsidR="00F833BF" w:rsidRPr="00B47833"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Pr>
          <w:rFonts w:ascii="Tahoma" w:hAnsi="Tahoma" w:cs="Tahoma"/>
          <w:sz w:val="24"/>
          <w:szCs w:val="24"/>
        </w:rPr>
        <w:t>For a</w:t>
      </w:r>
      <w:r w:rsidRPr="00B47833">
        <w:rPr>
          <w:rFonts w:ascii="Tahoma" w:hAnsi="Tahoma" w:cs="Tahoma"/>
          <w:sz w:val="24"/>
          <w:szCs w:val="24"/>
        </w:rPr>
        <w:t>ccess Spectrum (IMT) blocks acquired through auction(s) there are no restrictions on the technology to be deployed for providing services within the scope of the service license, provided it is compatible with technology(</w:t>
      </w:r>
      <w:proofErr w:type="spellStart"/>
      <w:r w:rsidRPr="00B47833">
        <w:rPr>
          <w:rFonts w:ascii="Tahoma" w:hAnsi="Tahoma" w:cs="Tahoma"/>
          <w:sz w:val="24"/>
          <w:szCs w:val="24"/>
        </w:rPr>
        <w:t>ies</w:t>
      </w:r>
      <w:proofErr w:type="spellEnd"/>
      <w:r w:rsidRPr="00B47833">
        <w:rPr>
          <w:rFonts w:ascii="Tahoma" w:hAnsi="Tahoma" w:cs="Tahoma"/>
          <w:sz w:val="24"/>
          <w:szCs w:val="24"/>
        </w:rPr>
        <w:t>) already deployed in the LSA.</w:t>
      </w:r>
    </w:p>
    <w:p w14:paraId="0B257677" w14:textId="77777777" w:rsidR="00F833BF" w:rsidRPr="00B6473A"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sidRPr="00B6473A">
        <w:rPr>
          <w:rFonts w:ascii="Tahoma" w:hAnsi="Tahoma" w:cs="Tahoma"/>
          <w:sz w:val="24"/>
          <w:szCs w:val="24"/>
        </w:rPr>
        <w:lastRenderedPageBreak/>
        <w:t xml:space="preserve">In case of switching over to a different technology, information regarding the new technology should be given at least six months before any new technology Base Station site is offered for testing. </w:t>
      </w:r>
    </w:p>
    <w:p w14:paraId="373E5F5D" w14:textId="77777777" w:rsidR="00F833BF" w:rsidRPr="00B47833" w:rsidRDefault="00F833BF" w:rsidP="00F833BF">
      <w:pPr>
        <w:pStyle w:val="ListParagraph"/>
        <w:numPr>
          <w:ilvl w:val="0"/>
          <w:numId w:val="6"/>
        </w:numPr>
        <w:spacing w:after="0" w:line="360" w:lineRule="auto"/>
        <w:ind w:left="360" w:hanging="450"/>
        <w:contextualSpacing w:val="0"/>
        <w:jc w:val="both"/>
        <w:rPr>
          <w:rFonts w:ascii="Tahoma" w:hAnsi="Tahoma" w:cs="Tahoma"/>
          <w:sz w:val="24"/>
          <w:szCs w:val="24"/>
        </w:rPr>
      </w:pPr>
      <w:r w:rsidRPr="00B47833">
        <w:rPr>
          <w:rFonts w:ascii="Tahoma" w:hAnsi="Tahoma" w:cs="Tahoma"/>
          <w:sz w:val="24"/>
          <w:szCs w:val="24"/>
        </w:rPr>
        <w:t xml:space="preserve">About the spectrum bands – </w:t>
      </w:r>
    </w:p>
    <w:p w14:paraId="6EDD4C19" w14:textId="77777777" w:rsidR="00F833BF" w:rsidRPr="00B47833" w:rsidRDefault="00F833BF" w:rsidP="00F833BF">
      <w:pPr>
        <w:pStyle w:val="ListParagraph"/>
        <w:numPr>
          <w:ilvl w:val="1"/>
          <w:numId w:val="6"/>
        </w:numPr>
        <w:spacing w:after="0" w:line="360" w:lineRule="auto"/>
        <w:ind w:left="709"/>
        <w:contextualSpacing w:val="0"/>
        <w:jc w:val="both"/>
        <w:rPr>
          <w:rFonts w:ascii="Tahoma" w:hAnsi="Tahoma" w:cs="Tahoma"/>
          <w:sz w:val="24"/>
          <w:szCs w:val="24"/>
        </w:rPr>
      </w:pPr>
      <w:r w:rsidRPr="00B47833">
        <w:rPr>
          <w:rFonts w:ascii="Tahoma" w:hAnsi="Tahoma" w:cs="Tahoma"/>
          <w:sz w:val="24"/>
          <w:szCs w:val="24"/>
        </w:rPr>
        <w:t>Upper 6 GHz band (6.425- 7.125 GHz) is identified for IMT. Out of 700 MHz frequency range, 6425-6725 MHz and 6725-7125 MHz bands are currently available for IMT and is under consultation with stakeholders.</w:t>
      </w:r>
    </w:p>
    <w:p w14:paraId="3ABD48B4" w14:textId="77777777" w:rsidR="00F833BF" w:rsidRPr="00B47833" w:rsidRDefault="00F833BF" w:rsidP="00F833BF">
      <w:pPr>
        <w:pStyle w:val="ListParagraph"/>
        <w:numPr>
          <w:ilvl w:val="1"/>
          <w:numId w:val="6"/>
        </w:numPr>
        <w:spacing w:after="0" w:line="360" w:lineRule="auto"/>
        <w:ind w:left="709"/>
        <w:contextualSpacing w:val="0"/>
        <w:jc w:val="both"/>
        <w:rPr>
          <w:rFonts w:ascii="Tahoma" w:hAnsi="Tahoma" w:cs="Tahoma"/>
          <w:sz w:val="24"/>
          <w:szCs w:val="24"/>
        </w:rPr>
      </w:pPr>
      <w:r w:rsidRPr="00B47833">
        <w:rPr>
          <w:rFonts w:ascii="Tahoma" w:hAnsi="Tahoma" w:cs="Tahoma"/>
          <w:sz w:val="24"/>
          <w:szCs w:val="24"/>
        </w:rPr>
        <w:t xml:space="preserve">7 GHz band (7.125 to 8.400 GHz) is being considered for IMT i.e., Access, under agenda items 1.7 of WRC-2027. </w:t>
      </w:r>
    </w:p>
    <w:p w14:paraId="0A9AF158" w14:textId="77777777" w:rsidR="00F833BF" w:rsidRDefault="00F833BF" w:rsidP="00F833BF">
      <w:pPr>
        <w:rPr>
          <w:rFonts w:ascii="Tahoma" w:hAnsi="Tahoma" w:cs="Tahoma"/>
          <w:sz w:val="24"/>
          <w:szCs w:val="24"/>
        </w:rPr>
      </w:pPr>
    </w:p>
    <w:p w14:paraId="7529692C" w14:textId="1566406A" w:rsidR="00F833BF" w:rsidRPr="00DF6B78" w:rsidRDefault="00F833BF" w:rsidP="003436AF">
      <w:pPr>
        <w:pStyle w:val="ListParagraph"/>
        <w:numPr>
          <w:ilvl w:val="0"/>
          <w:numId w:val="1"/>
        </w:numPr>
        <w:spacing w:after="0" w:line="360" w:lineRule="auto"/>
        <w:ind w:left="357"/>
        <w:contextualSpacing w:val="0"/>
        <w:jc w:val="both"/>
        <w:rPr>
          <w:rFonts w:ascii="Tahoma" w:hAnsi="Tahoma" w:cs="Tahoma"/>
          <w:b/>
          <w:bCs/>
          <w:sz w:val="24"/>
          <w:szCs w:val="24"/>
          <w:highlight w:val="lightGray"/>
        </w:rPr>
      </w:pPr>
      <w:r w:rsidRPr="00DF6B78">
        <w:rPr>
          <w:rFonts w:ascii="Tahoma" w:hAnsi="Tahoma" w:cs="Tahoma"/>
          <w:b/>
          <w:bCs/>
          <w:sz w:val="24"/>
          <w:szCs w:val="24"/>
        </w:rPr>
        <w:t xml:space="preserve">  Broadband- on plans for rural connectivity &amp; in isolated areas</w:t>
      </w:r>
    </w:p>
    <w:p w14:paraId="50B4C3A1" w14:textId="77777777" w:rsidR="00F833BF" w:rsidRPr="00DF6B78" w:rsidRDefault="00F833BF" w:rsidP="00F833BF">
      <w:pPr>
        <w:spacing w:line="360" w:lineRule="auto"/>
        <w:jc w:val="both"/>
        <w:rPr>
          <w:rFonts w:ascii="Tahoma" w:hAnsi="Tahoma" w:cs="Tahoma"/>
          <w:sz w:val="24"/>
          <w:szCs w:val="24"/>
        </w:rPr>
      </w:pPr>
      <w:r w:rsidRPr="00DF6B78">
        <w:rPr>
          <w:rFonts w:ascii="Tahoma" w:hAnsi="Tahoma" w:cs="Tahoma"/>
          <w:b/>
          <w:bCs/>
          <w:sz w:val="24"/>
          <w:szCs w:val="24"/>
        </w:rPr>
        <w:tab/>
      </w:r>
      <w:r w:rsidRPr="00DF6B78">
        <w:rPr>
          <w:rFonts w:ascii="Tahoma" w:hAnsi="Tahoma" w:cs="Tahoma"/>
          <w:sz w:val="24"/>
          <w:szCs w:val="24"/>
        </w:rPr>
        <w:t>In addition to planned connectivity through satellite outlines above, rural areas and islands are covered through the following connectivity schemes funded by Digital Bharat Nidhi</w:t>
      </w:r>
    </w:p>
    <w:p w14:paraId="41C1E110" w14:textId="77777777" w:rsidR="00F833BF" w:rsidRPr="00DF6B78" w:rsidRDefault="00F833BF" w:rsidP="00F833BF">
      <w:pPr>
        <w:spacing w:line="360" w:lineRule="auto"/>
        <w:jc w:val="both"/>
        <w:rPr>
          <w:rFonts w:ascii="Tahoma" w:hAnsi="Tahoma" w:cs="Tahoma"/>
          <w:b/>
          <w:bCs/>
          <w:sz w:val="24"/>
          <w:szCs w:val="24"/>
          <w:u w:val="single"/>
        </w:rPr>
      </w:pPr>
      <w:proofErr w:type="spellStart"/>
      <w:r w:rsidRPr="00DF6B78">
        <w:rPr>
          <w:rFonts w:ascii="Tahoma" w:hAnsi="Tahoma" w:cs="Tahoma"/>
          <w:b/>
          <w:bCs/>
          <w:sz w:val="24"/>
          <w:szCs w:val="24"/>
          <w:u w:val="single"/>
        </w:rPr>
        <w:t>BharatNet</w:t>
      </w:r>
      <w:proofErr w:type="spellEnd"/>
      <w:r w:rsidRPr="00DF6B78">
        <w:rPr>
          <w:rFonts w:ascii="Tahoma" w:hAnsi="Tahoma" w:cs="Tahoma"/>
          <w:b/>
          <w:bCs/>
          <w:sz w:val="24"/>
          <w:szCs w:val="24"/>
          <w:u w:val="single"/>
        </w:rPr>
        <w:t xml:space="preserve"> </w:t>
      </w:r>
    </w:p>
    <w:p w14:paraId="45E3FA07" w14:textId="77777777" w:rsidR="00F833BF" w:rsidRPr="00DF6B78" w:rsidRDefault="00F833BF" w:rsidP="00F833BF">
      <w:pPr>
        <w:numPr>
          <w:ilvl w:val="0"/>
          <w:numId w:val="8"/>
        </w:numPr>
        <w:spacing w:line="360" w:lineRule="auto"/>
        <w:jc w:val="both"/>
        <w:rPr>
          <w:rFonts w:ascii="Tahoma" w:hAnsi="Tahoma" w:cs="Tahoma"/>
          <w:sz w:val="24"/>
          <w:szCs w:val="24"/>
        </w:rPr>
      </w:pPr>
      <w:r w:rsidRPr="00DF6B78">
        <w:rPr>
          <w:rFonts w:ascii="Tahoma" w:hAnsi="Tahoma" w:cs="Tahoma"/>
          <w:b/>
          <w:bCs/>
          <w:sz w:val="24"/>
          <w:szCs w:val="24"/>
        </w:rPr>
        <w:t>2010 – National Broadband Plan:</w:t>
      </w:r>
      <w:r w:rsidRPr="00DF6B78">
        <w:rPr>
          <w:rFonts w:ascii="Tahoma" w:hAnsi="Tahoma" w:cs="Tahoma"/>
          <w:sz w:val="24"/>
          <w:szCs w:val="24"/>
        </w:rPr>
        <w:t xml:space="preserve"> TRAI proposed </w:t>
      </w:r>
      <w:r w:rsidRPr="00DF6B78">
        <w:rPr>
          <w:rFonts w:ascii="Tahoma" w:hAnsi="Tahoma" w:cs="Tahoma"/>
          <w:b/>
          <w:bCs/>
          <w:sz w:val="24"/>
          <w:szCs w:val="24"/>
        </w:rPr>
        <w:t>National Optical Fibre Network (NOFN)</w:t>
      </w:r>
      <w:r w:rsidRPr="00DF6B78">
        <w:rPr>
          <w:rFonts w:ascii="Tahoma" w:hAnsi="Tahoma" w:cs="Tahoma"/>
          <w:sz w:val="24"/>
          <w:szCs w:val="24"/>
        </w:rPr>
        <w:t xml:space="preserve"> to link all habitations ≥500 population via USOF funding (~₹60,000 crore). Formed the basis of </w:t>
      </w:r>
      <w:proofErr w:type="spellStart"/>
      <w:r w:rsidRPr="00DF6B78">
        <w:rPr>
          <w:rFonts w:ascii="Tahoma" w:hAnsi="Tahoma" w:cs="Tahoma"/>
          <w:sz w:val="24"/>
          <w:szCs w:val="24"/>
        </w:rPr>
        <w:t>BharatNet</w:t>
      </w:r>
      <w:proofErr w:type="spellEnd"/>
      <w:r w:rsidRPr="00DF6B78">
        <w:rPr>
          <w:rFonts w:ascii="Tahoma" w:hAnsi="Tahoma" w:cs="Tahoma"/>
          <w:sz w:val="24"/>
          <w:szCs w:val="24"/>
        </w:rPr>
        <w:t xml:space="preserve"> (the Government approved it in 2011, to be implemented in three phases).</w:t>
      </w:r>
    </w:p>
    <w:p w14:paraId="55FBC8DD" w14:textId="77777777" w:rsidR="00F833BF" w:rsidRPr="00DF6B78" w:rsidRDefault="00F833BF" w:rsidP="00F833BF">
      <w:pPr>
        <w:numPr>
          <w:ilvl w:val="0"/>
          <w:numId w:val="9"/>
        </w:numPr>
        <w:spacing w:line="360" w:lineRule="auto"/>
        <w:jc w:val="both"/>
        <w:rPr>
          <w:rFonts w:ascii="Tahoma" w:hAnsi="Tahoma" w:cs="Tahoma"/>
          <w:sz w:val="24"/>
          <w:szCs w:val="24"/>
        </w:rPr>
      </w:pPr>
      <w:proofErr w:type="spellStart"/>
      <w:r w:rsidRPr="00DF6B78">
        <w:rPr>
          <w:rFonts w:ascii="Tahoma" w:hAnsi="Tahoma" w:cs="Tahoma"/>
          <w:bCs/>
          <w:sz w:val="24"/>
          <w:szCs w:val="24"/>
        </w:rPr>
        <w:t>BharatNet</w:t>
      </w:r>
      <w:proofErr w:type="spellEnd"/>
      <w:r w:rsidRPr="00DF6B78">
        <w:rPr>
          <w:rFonts w:ascii="Tahoma" w:hAnsi="Tahoma" w:cs="Tahoma"/>
          <w:bCs/>
          <w:sz w:val="24"/>
          <w:szCs w:val="24"/>
        </w:rPr>
        <w:t xml:space="preserve"> </w:t>
      </w:r>
      <w:r w:rsidRPr="00DF6B78">
        <w:rPr>
          <w:rFonts w:ascii="Tahoma" w:hAnsi="Tahoma" w:cs="Tahoma"/>
          <w:b/>
          <w:bCs/>
          <w:sz w:val="24"/>
          <w:szCs w:val="24"/>
        </w:rPr>
        <w:t>Phase-I &amp; II completed</w:t>
      </w:r>
      <w:r w:rsidRPr="00DF6B78">
        <w:rPr>
          <w:rFonts w:ascii="Tahoma" w:hAnsi="Tahoma" w:cs="Tahoma"/>
          <w:bCs/>
          <w:sz w:val="24"/>
          <w:szCs w:val="24"/>
        </w:rPr>
        <w:t>. Presently, about 214,000 Gram Panchayats (GP is a village body covering 3-4 villages) are service-ready, with optical cable deployed using a mix of technologies. It also includes satellite connectivity at over 5,200 GPs through VSATs.</w:t>
      </w:r>
    </w:p>
    <w:p w14:paraId="3755BCD3" w14:textId="77777777" w:rsidR="00F833BF" w:rsidRPr="00DF6B78" w:rsidRDefault="00F833BF" w:rsidP="00F833BF">
      <w:pPr>
        <w:numPr>
          <w:ilvl w:val="0"/>
          <w:numId w:val="8"/>
        </w:numPr>
        <w:spacing w:line="360" w:lineRule="auto"/>
        <w:jc w:val="both"/>
        <w:rPr>
          <w:rFonts w:ascii="Tahoma" w:hAnsi="Tahoma" w:cs="Tahoma"/>
          <w:sz w:val="24"/>
          <w:szCs w:val="24"/>
        </w:rPr>
      </w:pPr>
      <w:r w:rsidRPr="00DF6B78">
        <w:rPr>
          <w:rFonts w:ascii="Tahoma" w:hAnsi="Tahoma" w:cs="Tahoma"/>
          <w:b/>
          <w:bCs/>
          <w:sz w:val="24"/>
          <w:szCs w:val="24"/>
        </w:rPr>
        <w:t xml:space="preserve"> 2024 – Amended </w:t>
      </w:r>
      <w:proofErr w:type="spellStart"/>
      <w:r w:rsidRPr="00DF6B78">
        <w:rPr>
          <w:rFonts w:ascii="Tahoma" w:hAnsi="Tahoma" w:cs="Tahoma"/>
          <w:b/>
          <w:bCs/>
          <w:sz w:val="24"/>
          <w:szCs w:val="24"/>
        </w:rPr>
        <w:t>BharatNet</w:t>
      </w:r>
      <w:proofErr w:type="spellEnd"/>
      <w:r w:rsidRPr="00DF6B78">
        <w:rPr>
          <w:rFonts w:ascii="Tahoma" w:hAnsi="Tahoma" w:cs="Tahoma"/>
          <w:b/>
          <w:bCs/>
          <w:sz w:val="24"/>
          <w:szCs w:val="24"/>
        </w:rPr>
        <w:t xml:space="preserve"> (Ph-III):</w:t>
      </w:r>
      <w:r w:rsidRPr="00DF6B78">
        <w:rPr>
          <w:rFonts w:ascii="Tahoma" w:hAnsi="Tahoma" w:cs="Tahoma"/>
          <w:sz w:val="24"/>
          <w:szCs w:val="24"/>
        </w:rPr>
        <w:t xml:space="preserve"> USD 16 bn plan to extend fibre to </w:t>
      </w:r>
      <w:r w:rsidRPr="00DF6B78">
        <w:rPr>
          <w:rFonts w:ascii="Tahoma" w:hAnsi="Tahoma" w:cs="Tahoma"/>
          <w:b/>
          <w:bCs/>
          <w:sz w:val="24"/>
          <w:szCs w:val="24"/>
        </w:rPr>
        <w:t>all remaining GPs/villages</w:t>
      </w:r>
      <w:r w:rsidRPr="00DF6B78">
        <w:rPr>
          <w:rFonts w:ascii="Tahoma" w:hAnsi="Tahoma" w:cs="Tahoma"/>
          <w:sz w:val="24"/>
          <w:szCs w:val="24"/>
        </w:rPr>
        <w:t xml:space="preserve"> with ring-based resilience.</w:t>
      </w:r>
    </w:p>
    <w:p w14:paraId="6F39ABC3" w14:textId="77777777" w:rsidR="00F833BF" w:rsidRDefault="00F833BF" w:rsidP="00F833BF">
      <w:pPr>
        <w:numPr>
          <w:ilvl w:val="0"/>
          <w:numId w:val="8"/>
        </w:numPr>
        <w:spacing w:line="360" w:lineRule="auto"/>
        <w:jc w:val="both"/>
        <w:rPr>
          <w:rFonts w:ascii="Tahoma" w:hAnsi="Tahoma" w:cs="Tahoma"/>
          <w:sz w:val="24"/>
          <w:szCs w:val="24"/>
        </w:rPr>
      </w:pPr>
      <w:r w:rsidRPr="00DF6B78">
        <w:rPr>
          <w:rFonts w:ascii="Tahoma" w:hAnsi="Tahoma" w:cs="Tahoma"/>
          <w:sz w:val="24"/>
          <w:szCs w:val="24"/>
        </w:rPr>
        <w:t>Rural broadband connectivity achieved in the Islands (81 GPs) and remote places with habitation (Ladakh -142 GPs, Arunachal Pradesh -859 GPs). Village Local Entrepreneurs are incentivised to provide access to households.</w:t>
      </w:r>
    </w:p>
    <w:p w14:paraId="4EB312EA" w14:textId="77777777" w:rsidR="004B1C92" w:rsidRPr="00DF6B78" w:rsidRDefault="004B1C92" w:rsidP="004B1C92">
      <w:pPr>
        <w:spacing w:line="360" w:lineRule="auto"/>
        <w:ind w:left="720"/>
        <w:jc w:val="both"/>
        <w:rPr>
          <w:rFonts w:ascii="Tahoma" w:hAnsi="Tahoma" w:cs="Tahoma"/>
          <w:sz w:val="24"/>
          <w:szCs w:val="24"/>
        </w:rPr>
      </w:pPr>
    </w:p>
    <w:p w14:paraId="127F5220" w14:textId="77777777" w:rsidR="00F833BF" w:rsidRPr="00DF6B78" w:rsidRDefault="00F833BF" w:rsidP="00F833BF">
      <w:pPr>
        <w:spacing w:line="360" w:lineRule="auto"/>
        <w:jc w:val="both"/>
        <w:rPr>
          <w:rFonts w:ascii="Tahoma" w:hAnsi="Tahoma" w:cs="Tahoma"/>
          <w:b/>
          <w:bCs/>
          <w:sz w:val="24"/>
          <w:szCs w:val="24"/>
          <w:u w:val="single"/>
        </w:rPr>
      </w:pPr>
      <w:r w:rsidRPr="00DF6B78">
        <w:rPr>
          <w:rFonts w:ascii="Tahoma" w:hAnsi="Tahoma" w:cs="Tahoma"/>
          <w:b/>
          <w:bCs/>
          <w:sz w:val="24"/>
          <w:szCs w:val="24"/>
          <w:u w:val="single"/>
        </w:rPr>
        <w:lastRenderedPageBreak/>
        <w:t>Submarine Connectivity:</w:t>
      </w:r>
    </w:p>
    <w:p w14:paraId="397E59E3" w14:textId="77777777" w:rsidR="00F833BF" w:rsidRPr="00DF6B78" w:rsidRDefault="00F833BF" w:rsidP="00F833BF">
      <w:pPr>
        <w:pStyle w:val="ListParagraph"/>
        <w:numPr>
          <w:ilvl w:val="0"/>
          <w:numId w:val="10"/>
        </w:numPr>
        <w:spacing w:line="360" w:lineRule="auto"/>
        <w:ind w:left="720"/>
        <w:jc w:val="both"/>
        <w:rPr>
          <w:rFonts w:ascii="Tahoma" w:hAnsi="Tahoma" w:cs="Tahoma"/>
          <w:b/>
          <w:bCs/>
          <w:sz w:val="24"/>
          <w:szCs w:val="24"/>
        </w:rPr>
      </w:pPr>
      <w:r w:rsidRPr="00DF6B78">
        <w:rPr>
          <w:rFonts w:ascii="Tahoma" w:hAnsi="Tahoma" w:cs="Tahoma"/>
          <w:b/>
          <w:bCs/>
          <w:sz w:val="24"/>
          <w:szCs w:val="24"/>
        </w:rPr>
        <w:t>Island Connectivity:</w:t>
      </w:r>
      <w:r w:rsidRPr="00DF6B78">
        <w:rPr>
          <w:rFonts w:ascii="Tahoma" w:hAnsi="Tahoma" w:cs="Tahoma"/>
          <w:sz w:val="24"/>
          <w:szCs w:val="24"/>
        </w:rPr>
        <w:t xml:space="preserve"> </w:t>
      </w:r>
      <w:r w:rsidRPr="00DF6B78">
        <w:rPr>
          <w:rFonts w:ascii="Tahoma" w:hAnsi="Tahoma" w:cs="Tahoma"/>
          <w:bCs/>
          <w:sz w:val="24"/>
          <w:szCs w:val="24"/>
        </w:rPr>
        <w:t>Submarine cable links</w:t>
      </w:r>
      <w:r w:rsidRPr="00DF6B78">
        <w:rPr>
          <w:rFonts w:ascii="Tahoma" w:hAnsi="Tahoma" w:cs="Tahoma"/>
          <w:sz w:val="24"/>
          <w:szCs w:val="24"/>
        </w:rPr>
        <w:t xml:space="preserve"> are provided for Andaman &amp; Nicobar Islands (in the Bay of Bengal) &amp; Lakshadweep Islands (in the Arabian Sea), which are backed by alternate satellite connectivity.</w:t>
      </w:r>
    </w:p>
    <w:p w14:paraId="3F4B1F26" w14:textId="77777777" w:rsidR="00F833BF" w:rsidRPr="00DF6B78" w:rsidRDefault="00F833BF" w:rsidP="00F833BF">
      <w:pPr>
        <w:spacing w:line="360" w:lineRule="auto"/>
        <w:jc w:val="both"/>
        <w:rPr>
          <w:rFonts w:ascii="Tahoma" w:hAnsi="Tahoma" w:cs="Tahoma"/>
          <w:b/>
          <w:bCs/>
          <w:sz w:val="24"/>
          <w:szCs w:val="24"/>
          <w:u w:val="single"/>
        </w:rPr>
      </w:pPr>
      <w:r w:rsidRPr="00DF6B78">
        <w:rPr>
          <w:rFonts w:ascii="Tahoma" w:hAnsi="Tahoma" w:cs="Tahoma"/>
          <w:b/>
          <w:bCs/>
          <w:sz w:val="24"/>
          <w:szCs w:val="24"/>
          <w:u w:val="single"/>
        </w:rPr>
        <w:t>Mobile Connectivity Projects</w:t>
      </w:r>
    </w:p>
    <w:p w14:paraId="3FF6CBCC" w14:textId="77777777" w:rsidR="00F833BF" w:rsidRDefault="00F833BF" w:rsidP="00F833BF">
      <w:pPr>
        <w:numPr>
          <w:ilvl w:val="0"/>
          <w:numId w:val="10"/>
        </w:numPr>
        <w:spacing w:line="360" w:lineRule="auto"/>
        <w:ind w:left="720"/>
        <w:jc w:val="both"/>
        <w:rPr>
          <w:rFonts w:ascii="Tahoma" w:hAnsi="Tahoma" w:cs="Tahoma"/>
          <w:sz w:val="24"/>
          <w:szCs w:val="24"/>
        </w:rPr>
      </w:pPr>
      <w:r w:rsidRPr="00DF6B78">
        <w:rPr>
          <w:rFonts w:ascii="Tahoma" w:hAnsi="Tahoma" w:cs="Tahoma"/>
          <w:sz w:val="24"/>
          <w:szCs w:val="24"/>
        </w:rPr>
        <w:t xml:space="preserve">Over </w:t>
      </w:r>
      <w:r w:rsidRPr="00DF6B78">
        <w:rPr>
          <w:rFonts w:ascii="Tahoma" w:hAnsi="Tahoma" w:cs="Tahoma"/>
          <w:b/>
          <w:bCs/>
          <w:sz w:val="24"/>
          <w:szCs w:val="24"/>
        </w:rPr>
        <w:t>30,000 villages</w:t>
      </w:r>
      <w:r w:rsidRPr="00DF6B78">
        <w:rPr>
          <w:rFonts w:ascii="Tahoma" w:hAnsi="Tahoma" w:cs="Tahoma"/>
          <w:sz w:val="24"/>
          <w:szCs w:val="24"/>
        </w:rPr>
        <w:t xml:space="preserve"> newly connected; </w:t>
      </w:r>
      <w:r w:rsidRPr="00DF6B78">
        <w:rPr>
          <w:rFonts w:ascii="Tahoma" w:hAnsi="Tahoma" w:cs="Tahoma"/>
          <w:b/>
          <w:bCs/>
          <w:sz w:val="24"/>
          <w:szCs w:val="24"/>
        </w:rPr>
        <w:t>21,000 towers added</w:t>
      </w:r>
      <w:r w:rsidRPr="00DF6B78">
        <w:rPr>
          <w:rFonts w:ascii="Tahoma" w:hAnsi="Tahoma" w:cs="Tahoma"/>
          <w:sz w:val="24"/>
          <w:szCs w:val="24"/>
        </w:rPr>
        <w:t xml:space="preserve"> in five years under various mobile connectivity projects. It includes projects in target areas, including islands, aspirational districts &amp; other difficult regions (including 4G Saturation), which will cover almost all inhabited villages in India</w:t>
      </w:r>
    </w:p>
    <w:p w14:paraId="06D27359" w14:textId="77777777" w:rsidR="004B1C92" w:rsidRPr="00DF6B78" w:rsidRDefault="004B1C92" w:rsidP="004B1C92">
      <w:pPr>
        <w:spacing w:line="360" w:lineRule="auto"/>
        <w:ind w:left="720"/>
        <w:jc w:val="both"/>
        <w:rPr>
          <w:rFonts w:ascii="Tahoma" w:hAnsi="Tahoma" w:cs="Tahoma"/>
          <w:sz w:val="24"/>
          <w:szCs w:val="24"/>
        </w:rPr>
      </w:pPr>
    </w:p>
    <w:p w14:paraId="79F52686" w14:textId="7D5E59C8" w:rsidR="00F833BF" w:rsidRPr="00F833BF" w:rsidRDefault="00F833BF" w:rsidP="001E1E9B">
      <w:pPr>
        <w:pStyle w:val="ListParagraph"/>
        <w:numPr>
          <w:ilvl w:val="0"/>
          <w:numId w:val="1"/>
        </w:numPr>
        <w:spacing w:after="0" w:line="360" w:lineRule="auto"/>
        <w:ind w:left="357"/>
        <w:contextualSpacing w:val="0"/>
        <w:jc w:val="both"/>
        <w:rPr>
          <w:rFonts w:ascii="Tahoma" w:hAnsi="Tahoma" w:cs="Tahoma"/>
          <w:b/>
          <w:bCs/>
          <w:sz w:val="24"/>
          <w:szCs w:val="24"/>
        </w:rPr>
      </w:pPr>
      <w:r w:rsidRPr="00F833BF">
        <w:rPr>
          <w:rFonts w:ascii="Tahoma" w:hAnsi="Tahoma" w:cs="Tahoma"/>
          <w:b/>
          <w:bCs/>
          <w:sz w:val="24"/>
          <w:szCs w:val="24"/>
        </w:rPr>
        <w:t xml:space="preserve"> Data Centres: Right of Way, Energy Infrastructure, Dark Fibre, Private Networks</w:t>
      </w:r>
    </w:p>
    <w:p w14:paraId="4CD3E594" w14:textId="77777777" w:rsidR="00F833BF" w:rsidRPr="00DF6B78" w:rsidRDefault="00F833BF" w:rsidP="00F833BF">
      <w:pPr>
        <w:pStyle w:val="ListParagraph"/>
        <w:numPr>
          <w:ilvl w:val="0"/>
          <w:numId w:val="11"/>
        </w:numPr>
        <w:spacing w:before="120" w:after="120" w:line="360" w:lineRule="auto"/>
        <w:jc w:val="both"/>
        <w:rPr>
          <w:rFonts w:ascii="Tahoma" w:hAnsi="Tahoma" w:cs="Tahoma"/>
          <w:sz w:val="24"/>
          <w:szCs w:val="24"/>
        </w:rPr>
      </w:pPr>
      <w:r w:rsidRPr="00DF6B78">
        <w:rPr>
          <w:rFonts w:ascii="Tahoma" w:hAnsi="Tahoma" w:cs="Tahoma"/>
          <w:sz w:val="24"/>
          <w:szCs w:val="24"/>
        </w:rPr>
        <w:t>The growth of the data economy relies heavily on the availability of strong digital infrastructure.</w:t>
      </w:r>
    </w:p>
    <w:p w14:paraId="781B4531" w14:textId="77777777" w:rsidR="00F833BF" w:rsidRPr="00DF6B78" w:rsidRDefault="00F833BF" w:rsidP="00F833BF">
      <w:pPr>
        <w:pStyle w:val="ListParagraph"/>
        <w:numPr>
          <w:ilvl w:val="0"/>
          <w:numId w:val="11"/>
        </w:numPr>
        <w:spacing w:before="120" w:after="120" w:line="360" w:lineRule="auto"/>
        <w:jc w:val="both"/>
        <w:rPr>
          <w:rFonts w:ascii="Tahoma" w:hAnsi="Tahoma" w:cs="Tahoma"/>
          <w:sz w:val="24"/>
          <w:szCs w:val="24"/>
        </w:rPr>
      </w:pPr>
      <w:r w:rsidRPr="00DF6B78">
        <w:rPr>
          <w:rFonts w:ascii="Tahoma" w:hAnsi="Tahoma" w:cs="Tahoma"/>
          <w:sz w:val="24"/>
          <w:szCs w:val="24"/>
        </w:rPr>
        <w:t>TRAI has issued Recommendations dated 18</w:t>
      </w:r>
      <w:r w:rsidRPr="00DF6B78">
        <w:rPr>
          <w:rFonts w:ascii="Tahoma" w:hAnsi="Tahoma" w:cs="Tahoma"/>
          <w:sz w:val="24"/>
          <w:szCs w:val="24"/>
          <w:vertAlign w:val="superscript"/>
        </w:rPr>
        <w:t>th</w:t>
      </w:r>
      <w:r w:rsidRPr="00DF6B78">
        <w:rPr>
          <w:rFonts w:ascii="Tahoma" w:hAnsi="Tahoma" w:cs="Tahoma"/>
          <w:sz w:val="24"/>
          <w:szCs w:val="24"/>
        </w:rPr>
        <w:t xml:space="preserve"> Nov 2022 on </w:t>
      </w:r>
      <w:r w:rsidRPr="00DF6B78">
        <w:rPr>
          <w:rFonts w:ascii="Tahoma" w:hAnsi="Tahoma" w:cs="Tahoma"/>
          <w:b/>
          <w:bCs/>
          <w:sz w:val="24"/>
          <w:szCs w:val="24"/>
        </w:rPr>
        <w:t>‘Regulatory Framework for Promoting Data Economy through Establishment of Data Centres, Content Delivery Networks, and Interconnect Exchanges in India’</w:t>
      </w:r>
      <w:r w:rsidRPr="00DF6B78">
        <w:rPr>
          <w:rFonts w:ascii="Tahoma" w:hAnsi="Tahoma" w:cs="Tahoma"/>
          <w:sz w:val="24"/>
          <w:szCs w:val="24"/>
        </w:rPr>
        <w:t>.</w:t>
      </w:r>
    </w:p>
    <w:p w14:paraId="493A4E41" w14:textId="77777777" w:rsidR="00F833BF" w:rsidRPr="00DF6B78" w:rsidRDefault="00F833BF" w:rsidP="00F833BF">
      <w:pPr>
        <w:pStyle w:val="ListParagraph"/>
        <w:numPr>
          <w:ilvl w:val="0"/>
          <w:numId w:val="11"/>
        </w:numPr>
        <w:spacing w:before="120" w:after="120" w:line="360" w:lineRule="auto"/>
        <w:jc w:val="both"/>
        <w:rPr>
          <w:rFonts w:ascii="Tahoma" w:hAnsi="Tahoma" w:cs="Tahoma"/>
          <w:sz w:val="24"/>
          <w:szCs w:val="24"/>
        </w:rPr>
      </w:pPr>
      <w:r w:rsidRPr="00DF6B78">
        <w:rPr>
          <w:rFonts w:ascii="Tahoma" w:hAnsi="Tahoma" w:cs="Tahoma"/>
          <w:sz w:val="24"/>
          <w:szCs w:val="24"/>
        </w:rPr>
        <w:t xml:space="preserve">The recommendations identify </w:t>
      </w:r>
      <w:r w:rsidRPr="00DF6B78">
        <w:rPr>
          <w:rFonts w:ascii="Tahoma" w:hAnsi="Tahoma" w:cs="Tahoma"/>
          <w:b/>
          <w:sz w:val="24"/>
          <w:szCs w:val="24"/>
          <w:u w:val="single"/>
        </w:rPr>
        <w:t>Data Centres</w:t>
      </w:r>
      <w:r w:rsidRPr="00DF6B78">
        <w:rPr>
          <w:rFonts w:ascii="Tahoma" w:hAnsi="Tahoma" w:cs="Tahoma"/>
          <w:sz w:val="24"/>
          <w:szCs w:val="24"/>
        </w:rPr>
        <w:t xml:space="preserve"> (</w:t>
      </w:r>
      <w:r w:rsidRPr="00DF6B78">
        <w:rPr>
          <w:rFonts w:ascii="Tahoma" w:hAnsi="Tahoma" w:cs="Tahoma"/>
          <w:sz w:val="24"/>
          <w:szCs w:val="24"/>
          <w:u w:val="single"/>
        </w:rPr>
        <w:t>used for content hosting, edge computing, and cloud-based delivery</w:t>
      </w:r>
      <w:r w:rsidRPr="00DF6B78">
        <w:rPr>
          <w:rFonts w:ascii="Tahoma" w:hAnsi="Tahoma" w:cs="Tahoma"/>
          <w:sz w:val="24"/>
          <w:szCs w:val="24"/>
        </w:rPr>
        <w:t xml:space="preserve">); </w:t>
      </w:r>
      <w:r w:rsidRPr="00DF6B78">
        <w:rPr>
          <w:rFonts w:ascii="Tahoma" w:hAnsi="Tahoma" w:cs="Tahoma"/>
          <w:b/>
          <w:bCs/>
          <w:sz w:val="24"/>
          <w:szCs w:val="24"/>
          <w:u w:val="single"/>
        </w:rPr>
        <w:t>Content Delivery Networks</w:t>
      </w:r>
      <w:r w:rsidRPr="00DF6B78">
        <w:rPr>
          <w:rFonts w:ascii="Tahoma" w:hAnsi="Tahoma" w:cs="Tahoma"/>
          <w:sz w:val="24"/>
          <w:szCs w:val="24"/>
        </w:rPr>
        <w:t xml:space="preserve"> (</w:t>
      </w:r>
      <w:r w:rsidRPr="00DF6B78">
        <w:rPr>
          <w:rFonts w:ascii="Tahoma" w:hAnsi="Tahoma" w:cs="Tahoma"/>
          <w:sz w:val="24"/>
          <w:szCs w:val="24"/>
          <w:u w:val="single"/>
        </w:rPr>
        <w:t>the infrastructure utilized for delivering content from the cloud to the edge of the network</w:t>
      </w:r>
      <w:r w:rsidRPr="00DF6B78">
        <w:rPr>
          <w:rFonts w:ascii="Tahoma" w:hAnsi="Tahoma" w:cs="Tahoma"/>
          <w:sz w:val="24"/>
          <w:szCs w:val="24"/>
        </w:rPr>
        <w:t xml:space="preserve">); and </w:t>
      </w:r>
      <w:r w:rsidRPr="00DF6B78">
        <w:rPr>
          <w:rFonts w:ascii="Tahoma" w:hAnsi="Tahoma" w:cs="Tahoma"/>
          <w:b/>
          <w:bCs/>
          <w:sz w:val="24"/>
          <w:szCs w:val="24"/>
          <w:u w:val="single"/>
        </w:rPr>
        <w:t>Interconnect Exchanges</w:t>
      </w:r>
      <w:r w:rsidRPr="00DF6B78">
        <w:rPr>
          <w:rFonts w:ascii="Tahoma" w:hAnsi="Tahoma" w:cs="Tahoma"/>
          <w:sz w:val="24"/>
          <w:szCs w:val="24"/>
        </w:rPr>
        <w:t xml:space="preserve"> (</w:t>
      </w:r>
      <w:r w:rsidRPr="00DF6B78">
        <w:rPr>
          <w:rFonts w:ascii="Tahoma" w:hAnsi="Tahoma" w:cs="Tahoma"/>
          <w:sz w:val="24"/>
          <w:szCs w:val="24"/>
          <w:u w:val="single"/>
        </w:rPr>
        <w:t>which allow networks to exchange traffic with one another in internet infrastructure</w:t>
      </w:r>
      <w:r w:rsidRPr="00DF6B78">
        <w:rPr>
          <w:rFonts w:ascii="Tahoma" w:hAnsi="Tahoma" w:cs="Tahoma"/>
          <w:sz w:val="24"/>
          <w:szCs w:val="24"/>
        </w:rPr>
        <w:t>) as critical components for a successful data-driven economy. These recommendations facilitate reducing barriers for new data centre investment and expansion in India.</w:t>
      </w:r>
    </w:p>
    <w:p w14:paraId="5CD8EB5A" w14:textId="77777777" w:rsidR="00F833BF" w:rsidRPr="00DF6B78" w:rsidRDefault="00F833BF" w:rsidP="00F833BF">
      <w:pPr>
        <w:pStyle w:val="ListParagraph"/>
        <w:numPr>
          <w:ilvl w:val="0"/>
          <w:numId w:val="11"/>
        </w:numPr>
        <w:spacing w:before="120" w:after="120" w:line="360" w:lineRule="auto"/>
        <w:jc w:val="both"/>
        <w:rPr>
          <w:rFonts w:ascii="Tahoma" w:hAnsi="Tahoma" w:cs="Tahoma"/>
          <w:sz w:val="24"/>
          <w:szCs w:val="24"/>
        </w:rPr>
      </w:pPr>
      <w:r w:rsidRPr="00DF6B78">
        <w:rPr>
          <w:rFonts w:ascii="Tahoma" w:hAnsi="Tahoma" w:cs="Tahoma"/>
          <w:sz w:val="24"/>
          <w:szCs w:val="24"/>
        </w:rPr>
        <w:t>Some of the key TRAI recommendations are:</w:t>
      </w:r>
    </w:p>
    <w:p w14:paraId="08C9D070" w14:textId="77777777" w:rsidR="00F833BF" w:rsidRPr="00DF6B78" w:rsidRDefault="00F833BF" w:rsidP="00F833BF">
      <w:pPr>
        <w:pStyle w:val="ListParagraph"/>
        <w:numPr>
          <w:ilvl w:val="0"/>
          <w:numId w:val="13"/>
        </w:numPr>
        <w:spacing w:before="120" w:after="120" w:line="360" w:lineRule="auto"/>
        <w:jc w:val="both"/>
        <w:rPr>
          <w:rFonts w:ascii="Tahoma" w:hAnsi="Tahoma" w:cs="Tahoma"/>
          <w:sz w:val="24"/>
          <w:szCs w:val="24"/>
        </w:rPr>
      </w:pPr>
      <w:r w:rsidRPr="00DF6B78">
        <w:rPr>
          <w:rFonts w:ascii="Tahoma" w:hAnsi="Tahoma" w:cs="Tahoma"/>
          <w:sz w:val="24"/>
          <w:szCs w:val="24"/>
        </w:rPr>
        <w:t>As part of</w:t>
      </w:r>
      <w:r w:rsidRPr="00DF6B78">
        <w:rPr>
          <w:rFonts w:ascii="Tahoma" w:hAnsi="Tahoma" w:cs="Tahoma"/>
          <w:b/>
          <w:bCs/>
          <w:sz w:val="24"/>
          <w:szCs w:val="24"/>
        </w:rPr>
        <w:t xml:space="preserve"> </w:t>
      </w:r>
      <w:r w:rsidRPr="00DF6B78">
        <w:rPr>
          <w:rFonts w:ascii="Tahoma" w:hAnsi="Tahoma" w:cs="Tahoma"/>
          <w:sz w:val="24"/>
          <w:szCs w:val="24"/>
        </w:rPr>
        <w:t>Data Centre Incentivization Scheme (DCIS), fiscal and non-fiscal incentives may be provided by the Central Government and states.</w:t>
      </w:r>
    </w:p>
    <w:p w14:paraId="414E0C03" w14:textId="77777777" w:rsidR="00F833BF" w:rsidRPr="00DF6B78" w:rsidRDefault="00F833BF" w:rsidP="00F833BF">
      <w:pPr>
        <w:pStyle w:val="ListParagraph"/>
        <w:numPr>
          <w:ilvl w:val="0"/>
          <w:numId w:val="13"/>
        </w:numPr>
        <w:spacing w:before="120" w:after="120" w:line="360" w:lineRule="auto"/>
        <w:jc w:val="both"/>
        <w:rPr>
          <w:rFonts w:ascii="Tahoma" w:hAnsi="Tahoma" w:cs="Tahoma"/>
          <w:sz w:val="24"/>
          <w:szCs w:val="24"/>
        </w:rPr>
      </w:pPr>
      <w:r w:rsidRPr="00DF6B78">
        <w:rPr>
          <w:rFonts w:ascii="Tahoma" w:hAnsi="Tahoma" w:cs="Tahoma"/>
          <w:sz w:val="24"/>
          <w:szCs w:val="24"/>
        </w:rPr>
        <w:lastRenderedPageBreak/>
        <w:t>Data Centres may be declared as essential services under Essential Services Maintenance Acts of the states and exemptions from routine inspections under certain labour laws.</w:t>
      </w:r>
    </w:p>
    <w:p w14:paraId="6A2FB930" w14:textId="77777777" w:rsidR="00F833BF" w:rsidRPr="00DF6B78" w:rsidRDefault="00F833BF" w:rsidP="00F833BF">
      <w:pPr>
        <w:pStyle w:val="ListParagraph"/>
        <w:numPr>
          <w:ilvl w:val="0"/>
          <w:numId w:val="13"/>
        </w:numPr>
        <w:spacing w:before="120" w:after="120" w:line="360" w:lineRule="auto"/>
        <w:jc w:val="both"/>
        <w:rPr>
          <w:rFonts w:ascii="Tahoma" w:hAnsi="Tahoma" w:cs="Tahoma"/>
          <w:sz w:val="24"/>
          <w:szCs w:val="24"/>
        </w:rPr>
      </w:pPr>
      <w:r w:rsidRPr="00DF6B78">
        <w:rPr>
          <w:rFonts w:ascii="Tahoma" w:hAnsi="Tahoma" w:cs="Tahoma"/>
          <w:sz w:val="24"/>
          <w:szCs w:val="24"/>
        </w:rPr>
        <w:t>Implementation of Data Centre Readiness Index (DCRI) to rank States on infrastructure, regulatory support, clearances, and incentives.</w:t>
      </w:r>
    </w:p>
    <w:p w14:paraId="43E04812" w14:textId="77777777" w:rsidR="00F833BF" w:rsidRPr="00DF6B78" w:rsidRDefault="00F833BF" w:rsidP="00F833BF">
      <w:pPr>
        <w:pStyle w:val="ListParagraph"/>
        <w:numPr>
          <w:ilvl w:val="0"/>
          <w:numId w:val="13"/>
        </w:numPr>
        <w:spacing w:before="120" w:after="120" w:line="360" w:lineRule="auto"/>
        <w:jc w:val="both"/>
        <w:rPr>
          <w:rFonts w:ascii="Tahoma" w:hAnsi="Tahoma" w:cs="Tahoma"/>
          <w:sz w:val="24"/>
          <w:szCs w:val="24"/>
        </w:rPr>
      </w:pPr>
      <w:r w:rsidRPr="00DF6B78">
        <w:rPr>
          <w:rFonts w:ascii="Tahoma" w:hAnsi="Tahoma" w:cs="Tahoma"/>
          <w:sz w:val="24"/>
          <w:szCs w:val="24"/>
        </w:rPr>
        <w:t xml:space="preserve">Identifying </w:t>
      </w:r>
      <w:proofErr w:type="gramStart"/>
      <w:r w:rsidRPr="00DF6B78">
        <w:rPr>
          <w:rFonts w:ascii="Tahoma" w:hAnsi="Tahoma" w:cs="Tahoma"/>
          <w:sz w:val="24"/>
          <w:szCs w:val="24"/>
        </w:rPr>
        <w:t>more</w:t>
      </w:r>
      <w:proofErr w:type="gramEnd"/>
      <w:r w:rsidRPr="00DF6B78">
        <w:rPr>
          <w:rFonts w:ascii="Tahoma" w:hAnsi="Tahoma" w:cs="Tahoma"/>
          <w:sz w:val="24"/>
          <w:szCs w:val="24"/>
        </w:rPr>
        <w:t xml:space="preserve"> number of Data Centre Economic Zones (DCEZs) within Special Economic Zones (SEZs) based on power and water availability.</w:t>
      </w:r>
    </w:p>
    <w:p w14:paraId="0E39A805" w14:textId="77777777" w:rsidR="00F833BF" w:rsidRPr="00DF6B78" w:rsidRDefault="00F833BF" w:rsidP="00F833BF">
      <w:pPr>
        <w:pStyle w:val="ListParagraph"/>
        <w:numPr>
          <w:ilvl w:val="0"/>
          <w:numId w:val="13"/>
        </w:numPr>
        <w:spacing w:before="120" w:after="120" w:line="360" w:lineRule="auto"/>
        <w:jc w:val="both"/>
        <w:rPr>
          <w:rFonts w:ascii="Tahoma" w:hAnsi="Tahoma" w:cs="Tahoma"/>
          <w:sz w:val="24"/>
          <w:szCs w:val="24"/>
        </w:rPr>
      </w:pPr>
      <w:r w:rsidRPr="00DF6B78">
        <w:rPr>
          <w:rFonts w:ascii="Tahoma" w:hAnsi="Tahoma" w:cs="Tahoma"/>
          <w:sz w:val="24"/>
          <w:szCs w:val="24"/>
        </w:rPr>
        <w:t>Establishing a Data Digitization and Monetization Council (DDMC) to regulate data digitization, sharing, and ethical monetization across public and private sectors.</w:t>
      </w:r>
    </w:p>
    <w:p w14:paraId="54EF743F" w14:textId="77777777" w:rsidR="00F833BF" w:rsidRPr="00DF6B78" w:rsidRDefault="00F833BF" w:rsidP="00F833BF">
      <w:pPr>
        <w:spacing w:before="120" w:after="120" w:line="360" w:lineRule="auto"/>
        <w:ind w:firstLine="360"/>
        <w:contextualSpacing/>
        <w:jc w:val="both"/>
        <w:rPr>
          <w:rFonts w:ascii="Tahoma" w:hAnsi="Tahoma" w:cs="Tahoma"/>
          <w:sz w:val="24"/>
          <w:szCs w:val="24"/>
        </w:rPr>
      </w:pPr>
      <w:r w:rsidRPr="00DF6B78">
        <w:rPr>
          <w:rFonts w:ascii="Tahoma" w:hAnsi="Tahoma" w:cs="Tahoma"/>
          <w:b/>
          <w:bCs/>
          <w:sz w:val="24"/>
          <w:szCs w:val="24"/>
        </w:rPr>
        <w:t>Right of Way (</w:t>
      </w:r>
      <w:proofErr w:type="spellStart"/>
      <w:r w:rsidRPr="00DF6B78">
        <w:rPr>
          <w:rFonts w:ascii="Tahoma" w:hAnsi="Tahoma" w:cs="Tahoma"/>
          <w:b/>
          <w:bCs/>
          <w:sz w:val="24"/>
          <w:szCs w:val="24"/>
        </w:rPr>
        <w:t>RoW</w:t>
      </w:r>
      <w:proofErr w:type="spellEnd"/>
      <w:r w:rsidRPr="00DF6B78">
        <w:rPr>
          <w:rFonts w:ascii="Tahoma" w:hAnsi="Tahoma" w:cs="Tahoma"/>
          <w:b/>
          <w:bCs/>
          <w:sz w:val="24"/>
          <w:szCs w:val="24"/>
        </w:rPr>
        <w:t>)</w:t>
      </w:r>
    </w:p>
    <w:p w14:paraId="014B8A14" w14:textId="77777777" w:rsidR="00F833BF" w:rsidRPr="00DF6B78" w:rsidRDefault="00F833BF" w:rsidP="00F833BF">
      <w:pPr>
        <w:pStyle w:val="ListParagraph"/>
        <w:numPr>
          <w:ilvl w:val="0"/>
          <w:numId w:val="14"/>
        </w:numPr>
        <w:spacing w:before="120" w:after="120" w:line="360" w:lineRule="auto"/>
        <w:jc w:val="both"/>
        <w:rPr>
          <w:rFonts w:ascii="Tahoma" w:hAnsi="Tahoma" w:cs="Tahoma"/>
          <w:sz w:val="24"/>
          <w:szCs w:val="24"/>
        </w:rPr>
      </w:pPr>
      <w:r w:rsidRPr="00DF6B78">
        <w:rPr>
          <w:rFonts w:ascii="Tahoma" w:hAnsi="Tahoma" w:cs="Tahoma"/>
          <w:sz w:val="24"/>
          <w:szCs w:val="24"/>
        </w:rPr>
        <w:t xml:space="preserve">Laying fibre connectivity for DCs depends heavily on </w:t>
      </w:r>
      <w:proofErr w:type="spellStart"/>
      <w:r w:rsidRPr="00DF6B78">
        <w:rPr>
          <w:rFonts w:ascii="Tahoma" w:hAnsi="Tahoma" w:cs="Tahoma"/>
          <w:sz w:val="24"/>
          <w:szCs w:val="24"/>
        </w:rPr>
        <w:t>RoW</w:t>
      </w:r>
      <w:proofErr w:type="spellEnd"/>
      <w:r w:rsidRPr="00DF6B78">
        <w:rPr>
          <w:rFonts w:ascii="Tahoma" w:hAnsi="Tahoma" w:cs="Tahoma"/>
          <w:sz w:val="24"/>
          <w:szCs w:val="24"/>
        </w:rPr>
        <w:t>.</w:t>
      </w:r>
    </w:p>
    <w:p w14:paraId="49FCD80A" w14:textId="77777777" w:rsidR="00F833BF" w:rsidRPr="00DF6B78" w:rsidRDefault="00F833BF" w:rsidP="00F833BF">
      <w:pPr>
        <w:pStyle w:val="ListParagraph"/>
        <w:numPr>
          <w:ilvl w:val="0"/>
          <w:numId w:val="14"/>
        </w:numPr>
        <w:spacing w:before="120" w:after="120" w:line="360" w:lineRule="auto"/>
        <w:jc w:val="both"/>
        <w:rPr>
          <w:rFonts w:ascii="Tahoma" w:hAnsi="Tahoma" w:cs="Tahoma"/>
          <w:sz w:val="24"/>
          <w:szCs w:val="24"/>
        </w:rPr>
      </w:pPr>
      <w:r w:rsidRPr="00DF6B78">
        <w:rPr>
          <w:rFonts w:ascii="Tahoma" w:hAnsi="Tahoma" w:cs="Tahoma"/>
          <w:sz w:val="24"/>
          <w:szCs w:val="24"/>
        </w:rPr>
        <w:t xml:space="preserve">Recommended for </w:t>
      </w:r>
      <w:r w:rsidRPr="00DF6B78">
        <w:rPr>
          <w:rFonts w:ascii="Tahoma" w:hAnsi="Tahoma" w:cs="Tahoma"/>
          <w:b/>
          <w:bCs/>
          <w:sz w:val="24"/>
          <w:szCs w:val="24"/>
        </w:rPr>
        <w:t>single-window clearance portal</w:t>
      </w:r>
      <w:r w:rsidRPr="00DF6B78">
        <w:rPr>
          <w:rFonts w:ascii="Tahoma" w:hAnsi="Tahoma" w:cs="Tahoma"/>
          <w:sz w:val="24"/>
          <w:szCs w:val="24"/>
        </w:rPr>
        <w:t xml:space="preserve"> for all DC approvals.</w:t>
      </w:r>
    </w:p>
    <w:p w14:paraId="03F8C903" w14:textId="77777777" w:rsidR="00F833BF" w:rsidRPr="00DF6B78" w:rsidRDefault="00F833BF" w:rsidP="00F833BF">
      <w:pPr>
        <w:pStyle w:val="ListParagraph"/>
        <w:numPr>
          <w:ilvl w:val="0"/>
          <w:numId w:val="14"/>
        </w:numPr>
        <w:spacing w:before="120" w:after="120" w:line="360" w:lineRule="auto"/>
        <w:jc w:val="both"/>
        <w:rPr>
          <w:rFonts w:ascii="Tahoma" w:hAnsi="Tahoma" w:cs="Tahoma"/>
          <w:sz w:val="24"/>
          <w:szCs w:val="24"/>
        </w:rPr>
      </w:pPr>
      <w:r w:rsidRPr="00DF6B78">
        <w:rPr>
          <w:rFonts w:ascii="Tahoma" w:hAnsi="Tahoma" w:cs="Tahoma"/>
          <w:sz w:val="24"/>
          <w:szCs w:val="24"/>
        </w:rPr>
        <w:t xml:space="preserve">Recommended for states to consider </w:t>
      </w:r>
      <w:r w:rsidRPr="00DF6B78">
        <w:rPr>
          <w:rFonts w:ascii="Tahoma" w:hAnsi="Tahoma" w:cs="Tahoma"/>
          <w:b/>
          <w:bCs/>
          <w:sz w:val="24"/>
          <w:szCs w:val="24"/>
        </w:rPr>
        <w:t xml:space="preserve">waiving or reducing </w:t>
      </w:r>
      <w:proofErr w:type="spellStart"/>
      <w:r w:rsidRPr="00DF6B78">
        <w:rPr>
          <w:rFonts w:ascii="Tahoma" w:hAnsi="Tahoma" w:cs="Tahoma"/>
          <w:b/>
          <w:bCs/>
          <w:sz w:val="24"/>
          <w:szCs w:val="24"/>
        </w:rPr>
        <w:t>RoW</w:t>
      </w:r>
      <w:proofErr w:type="spellEnd"/>
      <w:r w:rsidRPr="00DF6B78">
        <w:rPr>
          <w:rFonts w:ascii="Tahoma" w:hAnsi="Tahoma" w:cs="Tahoma"/>
          <w:b/>
          <w:bCs/>
          <w:sz w:val="24"/>
          <w:szCs w:val="24"/>
        </w:rPr>
        <w:t xml:space="preserve"> charges</w:t>
      </w:r>
      <w:r w:rsidRPr="00DF6B78">
        <w:rPr>
          <w:rFonts w:ascii="Tahoma" w:hAnsi="Tahoma" w:cs="Tahoma"/>
          <w:sz w:val="24"/>
          <w:szCs w:val="24"/>
        </w:rPr>
        <w:t xml:space="preserve"> for DCs connectivity to make deployment more economical.</w:t>
      </w:r>
    </w:p>
    <w:p w14:paraId="7A441AB4" w14:textId="77777777" w:rsidR="00F833BF" w:rsidRPr="00DF6B78" w:rsidRDefault="00F833BF" w:rsidP="00F833BF">
      <w:pPr>
        <w:pStyle w:val="ListParagraph"/>
        <w:numPr>
          <w:ilvl w:val="0"/>
          <w:numId w:val="14"/>
        </w:numPr>
        <w:spacing w:before="120" w:after="120" w:line="360" w:lineRule="auto"/>
        <w:jc w:val="both"/>
        <w:rPr>
          <w:rFonts w:ascii="Tahoma" w:hAnsi="Tahoma" w:cs="Tahoma"/>
          <w:sz w:val="24"/>
          <w:szCs w:val="24"/>
        </w:rPr>
      </w:pPr>
      <w:r w:rsidRPr="00DF6B78">
        <w:rPr>
          <w:rFonts w:ascii="Tahoma" w:hAnsi="Tahoma" w:cs="Tahoma"/>
          <w:sz w:val="24"/>
          <w:szCs w:val="24"/>
        </w:rPr>
        <w:t xml:space="preserve">By improving </w:t>
      </w:r>
      <w:proofErr w:type="spellStart"/>
      <w:r w:rsidRPr="00DF6B78">
        <w:rPr>
          <w:rFonts w:ascii="Tahoma" w:hAnsi="Tahoma" w:cs="Tahoma"/>
          <w:sz w:val="24"/>
          <w:szCs w:val="24"/>
        </w:rPr>
        <w:t>RoW</w:t>
      </w:r>
      <w:proofErr w:type="spellEnd"/>
      <w:r w:rsidRPr="00DF6B78">
        <w:rPr>
          <w:rFonts w:ascii="Tahoma" w:hAnsi="Tahoma" w:cs="Tahoma"/>
          <w:sz w:val="24"/>
          <w:szCs w:val="24"/>
        </w:rPr>
        <w:t xml:space="preserve"> processes, DCs can more economically build fibre infrastructure.</w:t>
      </w:r>
    </w:p>
    <w:p w14:paraId="21C16873" w14:textId="77777777" w:rsidR="00F833BF" w:rsidRPr="00DF6B78" w:rsidRDefault="00F833BF" w:rsidP="00F833BF">
      <w:pPr>
        <w:pStyle w:val="ListParagraph"/>
        <w:numPr>
          <w:ilvl w:val="0"/>
          <w:numId w:val="14"/>
        </w:numPr>
        <w:spacing w:before="120" w:after="120" w:line="360" w:lineRule="auto"/>
        <w:jc w:val="both"/>
        <w:rPr>
          <w:rFonts w:ascii="Tahoma" w:hAnsi="Tahoma" w:cs="Tahoma"/>
          <w:sz w:val="24"/>
          <w:szCs w:val="24"/>
        </w:rPr>
      </w:pPr>
      <w:r w:rsidRPr="00DF6B78">
        <w:rPr>
          <w:rFonts w:ascii="Tahoma" w:hAnsi="Tahoma" w:cs="Tahoma"/>
          <w:sz w:val="24"/>
          <w:szCs w:val="24"/>
        </w:rPr>
        <w:t xml:space="preserve">The central government has addressed most of the </w:t>
      </w:r>
      <w:proofErr w:type="spellStart"/>
      <w:r w:rsidRPr="00DF6B78">
        <w:rPr>
          <w:rFonts w:ascii="Tahoma" w:hAnsi="Tahoma" w:cs="Tahoma"/>
          <w:sz w:val="24"/>
          <w:szCs w:val="24"/>
        </w:rPr>
        <w:t>RoW</w:t>
      </w:r>
      <w:proofErr w:type="spellEnd"/>
      <w:r w:rsidRPr="00DF6B78">
        <w:rPr>
          <w:rFonts w:ascii="Tahoma" w:hAnsi="Tahoma" w:cs="Tahoma"/>
          <w:sz w:val="24"/>
          <w:szCs w:val="24"/>
        </w:rPr>
        <w:t xml:space="preserve"> issues</w:t>
      </w:r>
    </w:p>
    <w:p w14:paraId="13D0BD66" w14:textId="77777777" w:rsidR="00F833BF" w:rsidRPr="00DF6B78" w:rsidRDefault="00F833BF" w:rsidP="00F833BF">
      <w:pPr>
        <w:spacing w:before="120" w:after="120" w:line="360" w:lineRule="auto"/>
        <w:ind w:left="360"/>
        <w:contextualSpacing/>
        <w:jc w:val="both"/>
        <w:rPr>
          <w:rFonts w:ascii="Tahoma" w:hAnsi="Tahoma" w:cs="Tahoma"/>
          <w:sz w:val="24"/>
          <w:szCs w:val="24"/>
        </w:rPr>
      </w:pPr>
      <w:r w:rsidRPr="00DF6B78">
        <w:rPr>
          <w:rFonts w:ascii="Tahoma" w:hAnsi="Tahoma" w:cs="Tahoma"/>
          <w:b/>
          <w:bCs/>
          <w:sz w:val="24"/>
          <w:szCs w:val="24"/>
        </w:rPr>
        <w:t>Energy Infrastructure</w:t>
      </w:r>
    </w:p>
    <w:p w14:paraId="49FEBFAE" w14:textId="77777777" w:rsidR="00F833BF" w:rsidRPr="00DF6B78" w:rsidRDefault="00F833BF" w:rsidP="00F833BF">
      <w:pPr>
        <w:pStyle w:val="ListParagraph"/>
        <w:numPr>
          <w:ilvl w:val="0"/>
          <w:numId w:val="15"/>
        </w:numPr>
        <w:spacing w:before="120" w:after="120" w:line="360" w:lineRule="auto"/>
        <w:jc w:val="both"/>
        <w:rPr>
          <w:rFonts w:ascii="Tahoma" w:hAnsi="Tahoma" w:cs="Tahoma"/>
          <w:sz w:val="24"/>
          <w:szCs w:val="24"/>
        </w:rPr>
      </w:pPr>
      <w:r w:rsidRPr="00DF6B78">
        <w:rPr>
          <w:rFonts w:ascii="Tahoma" w:hAnsi="Tahoma" w:cs="Tahoma"/>
          <w:sz w:val="24"/>
          <w:szCs w:val="24"/>
        </w:rPr>
        <w:t xml:space="preserve">Recommended introduction of </w:t>
      </w:r>
      <w:r w:rsidRPr="00DF6B78">
        <w:rPr>
          <w:rFonts w:ascii="Tahoma" w:hAnsi="Tahoma" w:cs="Tahoma"/>
          <w:b/>
          <w:bCs/>
          <w:sz w:val="24"/>
          <w:szCs w:val="24"/>
        </w:rPr>
        <w:t>‘energy banking’</w:t>
      </w:r>
      <w:r w:rsidRPr="00DF6B78">
        <w:rPr>
          <w:rFonts w:ascii="Tahoma" w:hAnsi="Tahoma" w:cs="Tahoma"/>
          <w:sz w:val="24"/>
          <w:szCs w:val="24"/>
        </w:rPr>
        <w:t xml:space="preserve"> provisions to allow DCs or DC parks to bank surplus renewable energy for later use.</w:t>
      </w:r>
    </w:p>
    <w:p w14:paraId="4D0C56F1" w14:textId="77777777" w:rsidR="00F833BF" w:rsidRPr="00DF6B78" w:rsidRDefault="00F833BF" w:rsidP="00F833BF">
      <w:pPr>
        <w:pStyle w:val="ListParagraph"/>
        <w:numPr>
          <w:ilvl w:val="0"/>
          <w:numId w:val="15"/>
        </w:numPr>
        <w:spacing w:before="120" w:after="120" w:line="360" w:lineRule="auto"/>
        <w:jc w:val="both"/>
        <w:rPr>
          <w:rFonts w:ascii="Tahoma" w:hAnsi="Tahoma" w:cs="Tahoma"/>
          <w:sz w:val="24"/>
          <w:szCs w:val="24"/>
        </w:rPr>
      </w:pPr>
      <w:r w:rsidRPr="00DF6B78">
        <w:rPr>
          <w:rFonts w:ascii="Tahoma" w:hAnsi="Tahoma" w:cs="Tahoma"/>
          <w:sz w:val="24"/>
          <w:szCs w:val="24"/>
        </w:rPr>
        <w:t xml:space="preserve">Suggested </w:t>
      </w:r>
      <w:r w:rsidRPr="00DF6B78">
        <w:rPr>
          <w:rFonts w:ascii="Tahoma" w:hAnsi="Tahoma" w:cs="Tahoma"/>
          <w:b/>
          <w:bCs/>
          <w:sz w:val="24"/>
          <w:szCs w:val="24"/>
        </w:rPr>
        <w:t>concessions (or priority)</w:t>
      </w:r>
      <w:r w:rsidRPr="00DF6B78">
        <w:rPr>
          <w:rFonts w:ascii="Tahoma" w:hAnsi="Tahoma" w:cs="Tahoma"/>
          <w:sz w:val="24"/>
          <w:szCs w:val="24"/>
        </w:rPr>
        <w:t xml:space="preserve"> on land for solar plants linked to DCs.</w:t>
      </w:r>
    </w:p>
    <w:p w14:paraId="6D70487E" w14:textId="77777777" w:rsidR="00F833BF" w:rsidRPr="00DF6B78" w:rsidRDefault="00F833BF" w:rsidP="00F833BF">
      <w:pPr>
        <w:pStyle w:val="ListParagraph"/>
        <w:numPr>
          <w:ilvl w:val="0"/>
          <w:numId w:val="15"/>
        </w:numPr>
        <w:spacing w:before="120" w:after="120" w:line="360" w:lineRule="auto"/>
        <w:jc w:val="both"/>
        <w:rPr>
          <w:rFonts w:ascii="Tahoma" w:hAnsi="Tahoma" w:cs="Tahoma"/>
          <w:sz w:val="24"/>
          <w:szCs w:val="24"/>
        </w:rPr>
      </w:pPr>
      <w:r w:rsidRPr="00DF6B78">
        <w:rPr>
          <w:rFonts w:ascii="Tahoma" w:hAnsi="Tahoma" w:cs="Tahoma"/>
          <w:sz w:val="24"/>
          <w:szCs w:val="24"/>
        </w:rPr>
        <w:t>Recommended that DCs (or DC parks) should be permitted to operate backup power infra without undue regulatory interference (e.g., from pollution control boards.</w:t>
      </w:r>
    </w:p>
    <w:p w14:paraId="079A0E07" w14:textId="77777777" w:rsidR="00F833BF" w:rsidRPr="00DF6B78" w:rsidRDefault="00F833BF" w:rsidP="00F833BF">
      <w:pPr>
        <w:pStyle w:val="ListParagraph"/>
        <w:numPr>
          <w:ilvl w:val="0"/>
          <w:numId w:val="15"/>
        </w:numPr>
        <w:spacing w:before="120" w:after="120" w:line="360" w:lineRule="auto"/>
        <w:jc w:val="both"/>
        <w:rPr>
          <w:rFonts w:ascii="Tahoma" w:hAnsi="Tahoma" w:cs="Tahoma"/>
          <w:sz w:val="24"/>
          <w:szCs w:val="24"/>
        </w:rPr>
      </w:pPr>
      <w:r w:rsidRPr="00DF6B78">
        <w:rPr>
          <w:rFonts w:ascii="Tahoma" w:hAnsi="Tahoma" w:cs="Tahoma"/>
          <w:sz w:val="24"/>
          <w:szCs w:val="24"/>
        </w:rPr>
        <w:t xml:space="preserve">Recommended for </w:t>
      </w:r>
      <w:r w:rsidRPr="00DF6B78">
        <w:rPr>
          <w:rFonts w:ascii="Tahoma" w:hAnsi="Tahoma" w:cs="Tahoma"/>
          <w:b/>
          <w:bCs/>
          <w:sz w:val="24"/>
          <w:szCs w:val="24"/>
        </w:rPr>
        <w:t>Green</w:t>
      </w:r>
      <w:r w:rsidRPr="00DF6B78">
        <w:rPr>
          <w:rFonts w:ascii="Tahoma" w:hAnsi="Tahoma" w:cs="Tahoma"/>
          <w:sz w:val="24"/>
          <w:szCs w:val="24"/>
        </w:rPr>
        <w:t xml:space="preserve"> Data Centre standards (</w:t>
      </w:r>
      <w:r w:rsidRPr="00DF6B78">
        <w:rPr>
          <w:rFonts w:ascii="Tahoma" w:hAnsi="Tahoma" w:cs="Tahoma"/>
          <w:b/>
          <w:bCs/>
          <w:sz w:val="24"/>
          <w:szCs w:val="24"/>
        </w:rPr>
        <w:t>energy-efficiency, sustainable construction</w:t>
      </w:r>
      <w:r w:rsidRPr="00DF6B78">
        <w:rPr>
          <w:rFonts w:ascii="Tahoma" w:hAnsi="Tahoma" w:cs="Tahoma"/>
          <w:sz w:val="24"/>
          <w:szCs w:val="24"/>
        </w:rPr>
        <w:t>) via BIS / other bodies.</w:t>
      </w:r>
    </w:p>
    <w:p w14:paraId="3C18C696" w14:textId="77777777" w:rsidR="00F833BF" w:rsidRPr="00DF6B78" w:rsidRDefault="00F833BF" w:rsidP="00F833BF">
      <w:pPr>
        <w:pStyle w:val="ListParagraph"/>
        <w:numPr>
          <w:ilvl w:val="0"/>
          <w:numId w:val="15"/>
        </w:numPr>
        <w:spacing w:before="120" w:after="120" w:line="360" w:lineRule="auto"/>
        <w:jc w:val="both"/>
        <w:rPr>
          <w:rFonts w:ascii="Tahoma" w:hAnsi="Tahoma" w:cs="Tahoma"/>
          <w:sz w:val="24"/>
          <w:szCs w:val="24"/>
        </w:rPr>
      </w:pPr>
      <w:r w:rsidRPr="00DF6B78">
        <w:rPr>
          <w:rFonts w:ascii="Tahoma" w:hAnsi="Tahoma" w:cs="Tahoma"/>
          <w:sz w:val="24"/>
          <w:szCs w:val="24"/>
        </w:rPr>
        <w:t>Encouraging renewable power and energy banking would help make Data Centres more sustainable, addressing both cost and environmental concerns.</w:t>
      </w:r>
    </w:p>
    <w:p w14:paraId="306D5444" w14:textId="77777777" w:rsidR="0026029B" w:rsidRDefault="0026029B" w:rsidP="00F833BF">
      <w:pPr>
        <w:spacing w:before="120" w:after="120" w:line="360" w:lineRule="auto"/>
        <w:ind w:left="360"/>
        <w:contextualSpacing/>
        <w:jc w:val="both"/>
        <w:rPr>
          <w:rFonts w:ascii="Tahoma" w:hAnsi="Tahoma" w:cs="Tahoma"/>
          <w:b/>
          <w:bCs/>
          <w:sz w:val="24"/>
          <w:szCs w:val="24"/>
        </w:rPr>
      </w:pPr>
    </w:p>
    <w:p w14:paraId="42762E9B" w14:textId="77777777" w:rsidR="0026029B" w:rsidRDefault="0026029B" w:rsidP="00F833BF">
      <w:pPr>
        <w:spacing w:before="120" w:after="120" w:line="360" w:lineRule="auto"/>
        <w:ind w:left="360"/>
        <w:contextualSpacing/>
        <w:jc w:val="both"/>
        <w:rPr>
          <w:rFonts w:ascii="Tahoma" w:hAnsi="Tahoma" w:cs="Tahoma"/>
          <w:b/>
          <w:bCs/>
          <w:sz w:val="24"/>
          <w:szCs w:val="24"/>
        </w:rPr>
      </w:pPr>
    </w:p>
    <w:p w14:paraId="1D872A22" w14:textId="6D467151" w:rsidR="00F833BF" w:rsidRPr="00DF6B78" w:rsidRDefault="00F833BF" w:rsidP="00F833BF">
      <w:pPr>
        <w:spacing w:before="120" w:after="120" w:line="360" w:lineRule="auto"/>
        <w:ind w:left="360"/>
        <w:contextualSpacing/>
        <w:jc w:val="both"/>
        <w:rPr>
          <w:rFonts w:ascii="Tahoma" w:hAnsi="Tahoma" w:cs="Tahoma"/>
          <w:sz w:val="24"/>
          <w:szCs w:val="24"/>
        </w:rPr>
      </w:pPr>
      <w:r w:rsidRPr="00DF6B78">
        <w:rPr>
          <w:rFonts w:ascii="Tahoma" w:hAnsi="Tahoma" w:cs="Tahoma"/>
          <w:b/>
          <w:bCs/>
          <w:sz w:val="24"/>
          <w:szCs w:val="24"/>
        </w:rPr>
        <w:lastRenderedPageBreak/>
        <w:t>Dark Fibre and Private Networks</w:t>
      </w:r>
    </w:p>
    <w:p w14:paraId="65681252" w14:textId="77777777" w:rsidR="00F833BF" w:rsidRPr="00DF6B78" w:rsidRDefault="00F833BF" w:rsidP="00F833BF">
      <w:pPr>
        <w:pStyle w:val="ListParagraph"/>
        <w:numPr>
          <w:ilvl w:val="0"/>
          <w:numId w:val="16"/>
        </w:numPr>
        <w:spacing w:before="120" w:after="120" w:line="360" w:lineRule="auto"/>
        <w:jc w:val="both"/>
        <w:rPr>
          <w:rFonts w:ascii="Tahoma" w:hAnsi="Tahoma" w:cs="Tahoma"/>
          <w:sz w:val="24"/>
          <w:szCs w:val="24"/>
        </w:rPr>
      </w:pPr>
      <w:r w:rsidRPr="00DF6B78">
        <w:rPr>
          <w:rFonts w:ascii="Tahoma" w:hAnsi="Tahoma" w:cs="Tahoma"/>
          <w:sz w:val="24"/>
          <w:szCs w:val="24"/>
        </w:rPr>
        <w:t>Access to fibre (especially ‘dark fibre’) is a key infrastructure requirement for Data Centres, CDNs, and private network use.</w:t>
      </w:r>
    </w:p>
    <w:p w14:paraId="6493C7ED" w14:textId="77777777" w:rsidR="00F833BF" w:rsidRPr="00DF6B78" w:rsidRDefault="00F833BF" w:rsidP="00F833BF">
      <w:pPr>
        <w:pStyle w:val="ListParagraph"/>
        <w:numPr>
          <w:ilvl w:val="0"/>
          <w:numId w:val="16"/>
        </w:numPr>
        <w:spacing w:before="120" w:after="120" w:line="360" w:lineRule="auto"/>
        <w:jc w:val="both"/>
        <w:rPr>
          <w:rFonts w:ascii="Tahoma" w:hAnsi="Tahoma" w:cs="Tahoma"/>
          <w:sz w:val="24"/>
          <w:szCs w:val="24"/>
        </w:rPr>
      </w:pPr>
      <w:r w:rsidRPr="00DF6B78">
        <w:rPr>
          <w:rFonts w:ascii="Tahoma" w:hAnsi="Tahoma" w:cs="Tahoma"/>
          <w:sz w:val="24"/>
          <w:szCs w:val="24"/>
        </w:rPr>
        <w:t xml:space="preserve">The Authority is of the opinion that since entry conditions and fee for NLD license and NLD VNO License are not onerous, there seems to be no inhibition on DC entity/players to obtain NLD license for laying out its own </w:t>
      </w:r>
      <w:proofErr w:type="spellStart"/>
      <w:r w:rsidRPr="00DF6B78">
        <w:rPr>
          <w:rFonts w:ascii="Tahoma" w:hAnsi="Tahoma" w:cs="Tahoma"/>
          <w:sz w:val="24"/>
          <w:szCs w:val="24"/>
        </w:rPr>
        <w:t>fiber</w:t>
      </w:r>
      <w:proofErr w:type="spellEnd"/>
      <w:r w:rsidRPr="00DF6B78">
        <w:rPr>
          <w:rFonts w:ascii="Tahoma" w:hAnsi="Tahoma" w:cs="Tahoma"/>
          <w:sz w:val="24"/>
          <w:szCs w:val="24"/>
        </w:rPr>
        <w:t xml:space="preserve"> network. </w:t>
      </w:r>
    </w:p>
    <w:p w14:paraId="1469BDC5" w14:textId="77777777" w:rsidR="00F833BF" w:rsidRPr="00DF6B78" w:rsidRDefault="00F833BF" w:rsidP="00F833BF">
      <w:pPr>
        <w:pStyle w:val="ListParagraph"/>
        <w:numPr>
          <w:ilvl w:val="0"/>
          <w:numId w:val="16"/>
        </w:numPr>
        <w:spacing w:before="120" w:after="120" w:line="360" w:lineRule="auto"/>
        <w:jc w:val="both"/>
        <w:rPr>
          <w:rFonts w:ascii="Tahoma" w:hAnsi="Tahoma" w:cs="Tahoma"/>
          <w:sz w:val="24"/>
          <w:szCs w:val="24"/>
        </w:rPr>
      </w:pPr>
      <w:r w:rsidRPr="00DF6B78">
        <w:rPr>
          <w:rFonts w:ascii="Tahoma" w:hAnsi="Tahoma" w:cs="Tahoma"/>
          <w:sz w:val="24"/>
          <w:szCs w:val="24"/>
        </w:rPr>
        <w:t xml:space="preserve">Authority recommends that if DCs have to establish a captive </w:t>
      </w:r>
      <w:proofErr w:type="spellStart"/>
      <w:r w:rsidRPr="00DF6B78">
        <w:rPr>
          <w:rFonts w:ascii="Tahoma" w:hAnsi="Tahoma" w:cs="Tahoma"/>
          <w:sz w:val="24"/>
          <w:szCs w:val="24"/>
        </w:rPr>
        <w:t>fiber</w:t>
      </w:r>
      <w:proofErr w:type="spellEnd"/>
      <w:r w:rsidRPr="00DF6B78">
        <w:rPr>
          <w:rFonts w:ascii="Tahoma" w:hAnsi="Tahoma" w:cs="Tahoma"/>
          <w:sz w:val="24"/>
          <w:szCs w:val="24"/>
        </w:rPr>
        <w:t xml:space="preserve"> network, they should be allowed to do so under the existing licensing framework. </w:t>
      </w:r>
    </w:p>
    <w:p w14:paraId="37A1ECE8" w14:textId="77777777" w:rsidR="00F833BF" w:rsidRPr="00DF6B78" w:rsidRDefault="00F833BF" w:rsidP="00F833BF">
      <w:pPr>
        <w:pStyle w:val="ListParagraph"/>
        <w:numPr>
          <w:ilvl w:val="0"/>
          <w:numId w:val="12"/>
        </w:numPr>
        <w:spacing w:before="120" w:after="120" w:line="360" w:lineRule="auto"/>
        <w:jc w:val="both"/>
        <w:rPr>
          <w:rFonts w:ascii="Tahoma" w:hAnsi="Tahoma" w:cs="Tahoma"/>
          <w:sz w:val="24"/>
          <w:szCs w:val="24"/>
        </w:rPr>
      </w:pPr>
      <w:r w:rsidRPr="00DF6B78">
        <w:rPr>
          <w:rFonts w:ascii="Tahoma" w:hAnsi="Tahoma" w:cs="Tahoma"/>
          <w:sz w:val="24"/>
          <w:szCs w:val="24"/>
        </w:rPr>
        <w:t>Recommended that DCs should be allowed to lease or procure dark fibre for internal, captive use to facilitate private networks and reduce dependence on telecom providers</w:t>
      </w:r>
      <w:r w:rsidRPr="00DF6B78">
        <w:rPr>
          <w:rFonts w:ascii="Tahoma" w:hAnsi="Tahoma" w:cs="Tahoma"/>
          <w:b/>
          <w:bCs/>
          <w:sz w:val="24"/>
          <w:szCs w:val="24"/>
        </w:rPr>
        <w:t>.</w:t>
      </w:r>
    </w:p>
    <w:p w14:paraId="5A0A5EEA" w14:textId="77777777" w:rsidR="00F833BF" w:rsidRPr="00DF6B78" w:rsidRDefault="00F833BF" w:rsidP="00F833BF">
      <w:pPr>
        <w:spacing w:line="360" w:lineRule="auto"/>
        <w:jc w:val="both"/>
        <w:rPr>
          <w:rFonts w:ascii="Tahoma" w:hAnsi="Tahoma" w:cs="Tahoma"/>
          <w:b/>
          <w:bCs/>
          <w:sz w:val="24"/>
          <w:szCs w:val="24"/>
          <w:u w:val="single"/>
        </w:rPr>
      </w:pPr>
    </w:p>
    <w:p w14:paraId="64E38D8B" w14:textId="359A7426" w:rsidR="00F833BF" w:rsidRDefault="00F00290" w:rsidP="00F00290">
      <w:pPr>
        <w:spacing w:line="360" w:lineRule="auto"/>
        <w:jc w:val="center"/>
        <w:rPr>
          <w:rFonts w:ascii="Tahoma" w:hAnsi="Tahoma" w:cs="Tahoma"/>
          <w:b/>
          <w:bCs/>
          <w:sz w:val="24"/>
          <w:szCs w:val="24"/>
          <w:lang w:val="en-US"/>
        </w:rPr>
      </w:pPr>
      <w:r>
        <w:rPr>
          <w:rFonts w:ascii="Tahoma" w:hAnsi="Tahoma" w:cs="Tahoma"/>
          <w:b/>
          <w:bCs/>
          <w:sz w:val="24"/>
          <w:szCs w:val="24"/>
          <w:lang w:val="en-US"/>
        </w:rPr>
        <w:t>****</w:t>
      </w:r>
    </w:p>
    <w:p w14:paraId="078C938E" w14:textId="77777777" w:rsidR="00EA1627" w:rsidRPr="00FF5B39" w:rsidRDefault="00EA1627" w:rsidP="00FF5B39">
      <w:pPr>
        <w:spacing w:line="360" w:lineRule="auto"/>
        <w:jc w:val="both"/>
        <w:rPr>
          <w:rFonts w:ascii="Tahoma" w:hAnsi="Tahoma" w:cs="Tahoma"/>
          <w:sz w:val="24"/>
          <w:szCs w:val="24"/>
        </w:rPr>
      </w:pPr>
    </w:p>
    <w:sectPr w:rsidR="00EA1627" w:rsidRPr="00FF5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3F72"/>
    <w:multiLevelType w:val="multilevel"/>
    <w:tmpl w:val="CF92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4A21"/>
    <w:multiLevelType w:val="multilevel"/>
    <w:tmpl w:val="5B04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93BE6"/>
    <w:multiLevelType w:val="multilevel"/>
    <w:tmpl w:val="9FA4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C4014"/>
    <w:multiLevelType w:val="hybridMultilevel"/>
    <w:tmpl w:val="8B60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AA5CC8"/>
    <w:multiLevelType w:val="hybridMultilevel"/>
    <w:tmpl w:val="3F2CC584"/>
    <w:lvl w:ilvl="0" w:tplc="7C0A19B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B2136F"/>
    <w:multiLevelType w:val="hybridMultilevel"/>
    <w:tmpl w:val="5BB007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C02FD5"/>
    <w:multiLevelType w:val="hybridMultilevel"/>
    <w:tmpl w:val="92A2E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0E56A6"/>
    <w:multiLevelType w:val="hybridMultilevel"/>
    <w:tmpl w:val="8F8C8392"/>
    <w:lvl w:ilvl="0" w:tplc="75A00D7A">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D621BF"/>
    <w:multiLevelType w:val="multilevel"/>
    <w:tmpl w:val="35EA9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26F11"/>
    <w:multiLevelType w:val="hybridMultilevel"/>
    <w:tmpl w:val="4DECE0C0"/>
    <w:lvl w:ilvl="0" w:tplc="9640BD4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4617C0"/>
    <w:multiLevelType w:val="hybridMultilevel"/>
    <w:tmpl w:val="BCFC959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A5D1471"/>
    <w:multiLevelType w:val="multilevel"/>
    <w:tmpl w:val="F40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6451F"/>
    <w:multiLevelType w:val="hybridMultilevel"/>
    <w:tmpl w:val="EDAEDD7C"/>
    <w:lvl w:ilvl="0" w:tplc="72D6DD4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62B058BC"/>
    <w:multiLevelType w:val="multilevel"/>
    <w:tmpl w:val="F6B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01996"/>
    <w:multiLevelType w:val="hybridMultilevel"/>
    <w:tmpl w:val="48E87204"/>
    <w:lvl w:ilvl="0" w:tplc="81AE6D8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8D7256"/>
    <w:multiLevelType w:val="multilevel"/>
    <w:tmpl w:val="9A90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648AB"/>
    <w:multiLevelType w:val="hybridMultilevel"/>
    <w:tmpl w:val="035C2A9A"/>
    <w:lvl w:ilvl="0" w:tplc="D76012BE">
      <w:start w:val="1"/>
      <w:numFmt w:val="lowerRoman"/>
      <w:lvlText w:val="(%1)"/>
      <w:lvlJc w:val="left"/>
      <w:pPr>
        <w:ind w:left="1440" w:hanging="720"/>
      </w:pPr>
      <w:rPr>
        <w:rFonts w:hint="default"/>
        <w:b w:val="0"/>
        <w:bCs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19245A5"/>
    <w:multiLevelType w:val="hybridMultilevel"/>
    <w:tmpl w:val="B95EDBF0"/>
    <w:lvl w:ilvl="0" w:tplc="C0DAEA1C">
      <w:start w:val="2"/>
      <w:numFmt w:val="decimal"/>
      <w:lvlText w:val="%1."/>
      <w:lvlJc w:val="left"/>
      <w:pPr>
        <w:ind w:left="218" w:hanging="360"/>
      </w:pPr>
      <w:rPr>
        <w:rFonts w:hint="default"/>
        <w:b/>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8" w15:restartNumberingAfterBreak="0">
    <w:nsid w:val="78E824D3"/>
    <w:multiLevelType w:val="hybridMultilevel"/>
    <w:tmpl w:val="FD5A160C"/>
    <w:lvl w:ilvl="0" w:tplc="FFFFFFFF">
      <w:start w:val="1"/>
      <w:numFmt w:val="decimal"/>
      <w:lvlText w:val="%1."/>
      <w:lvlJc w:val="left"/>
      <w:pPr>
        <w:ind w:left="360"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67213680">
    <w:abstractNumId w:val="12"/>
  </w:num>
  <w:num w:numId="2" w16cid:durableId="877090796">
    <w:abstractNumId w:val="7"/>
  </w:num>
  <w:num w:numId="3" w16cid:durableId="2125876721">
    <w:abstractNumId w:val="9"/>
  </w:num>
  <w:num w:numId="4" w16cid:durableId="2015915613">
    <w:abstractNumId w:val="16"/>
  </w:num>
  <w:num w:numId="5" w16cid:durableId="1462112517">
    <w:abstractNumId w:val="14"/>
  </w:num>
  <w:num w:numId="6" w16cid:durableId="793524355">
    <w:abstractNumId w:val="5"/>
  </w:num>
  <w:num w:numId="7" w16cid:durableId="260573780">
    <w:abstractNumId w:val="18"/>
  </w:num>
  <w:num w:numId="8" w16cid:durableId="277495284">
    <w:abstractNumId w:val="13"/>
  </w:num>
  <w:num w:numId="9" w16cid:durableId="1453934958">
    <w:abstractNumId w:val="11"/>
  </w:num>
  <w:num w:numId="10" w16cid:durableId="1304580890">
    <w:abstractNumId w:val="3"/>
  </w:num>
  <w:num w:numId="11" w16cid:durableId="685983208">
    <w:abstractNumId w:val="10"/>
  </w:num>
  <w:num w:numId="12" w16cid:durableId="1581716864">
    <w:abstractNumId w:val="1"/>
  </w:num>
  <w:num w:numId="13" w16cid:durableId="580481617">
    <w:abstractNumId w:val="2"/>
  </w:num>
  <w:num w:numId="14" w16cid:durableId="1014771323">
    <w:abstractNumId w:val="0"/>
  </w:num>
  <w:num w:numId="15" w16cid:durableId="1499272430">
    <w:abstractNumId w:val="8"/>
  </w:num>
  <w:num w:numId="16" w16cid:durableId="609358980">
    <w:abstractNumId w:val="15"/>
  </w:num>
  <w:num w:numId="17" w16cid:durableId="179781310">
    <w:abstractNumId w:val="6"/>
  </w:num>
  <w:num w:numId="18" w16cid:durableId="1842117221">
    <w:abstractNumId w:val="4"/>
  </w:num>
  <w:num w:numId="19" w16cid:durableId="21465099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1C"/>
    <w:rsid w:val="00005372"/>
    <w:rsid w:val="0004621C"/>
    <w:rsid w:val="00122056"/>
    <w:rsid w:val="0018678F"/>
    <w:rsid w:val="001B4D22"/>
    <w:rsid w:val="001E1E9B"/>
    <w:rsid w:val="0026029B"/>
    <w:rsid w:val="003436AF"/>
    <w:rsid w:val="003A560A"/>
    <w:rsid w:val="004B1C92"/>
    <w:rsid w:val="006143A3"/>
    <w:rsid w:val="006E6217"/>
    <w:rsid w:val="006F5B3F"/>
    <w:rsid w:val="00844D26"/>
    <w:rsid w:val="008E06C2"/>
    <w:rsid w:val="00A258CD"/>
    <w:rsid w:val="00AD0505"/>
    <w:rsid w:val="00B9336A"/>
    <w:rsid w:val="00D1082E"/>
    <w:rsid w:val="00E4177A"/>
    <w:rsid w:val="00EA1627"/>
    <w:rsid w:val="00EA4E07"/>
    <w:rsid w:val="00F00290"/>
    <w:rsid w:val="00F833BF"/>
    <w:rsid w:val="00F94C3B"/>
    <w:rsid w:val="00FF5B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C274"/>
  <w15:chartTrackingRefBased/>
  <w15:docId w15:val="{596C8EC0-A991-4F71-86C9-51C10CA5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21C"/>
    <w:rPr>
      <w:rFonts w:eastAsiaTheme="majorEastAsia" w:cstheme="majorBidi"/>
      <w:color w:val="272727" w:themeColor="text1" w:themeTint="D8"/>
    </w:rPr>
  </w:style>
  <w:style w:type="paragraph" w:styleId="Title">
    <w:name w:val="Title"/>
    <w:basedOn w:val="Normal"/>
    <w:next w:val="Normal"/>
    <w:link w:val="TitleChar"/>
    <w:uiPriority w:val="10"/>
    <w:qFormat/>
    <w:rsid w:val="000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04621C"/>
    <w:rPr>
      <w:i/>
      <w:iCs/>
      <w:color w:val="404040" w:themeColor="text1" w:themeTint="BF"/>
    </w:rPr>
  </w:style>
  <w:style w:type="paragraph" w:styleId="ListParagraph">
    <w:name w:val="List Paragraph"/>
    <w:aliases w:val="Resume Title,Use Case List Paragraph,Bullet List Paragraph,List Paragraph1,List Paragraph11,Bulleted List1,Ref,List Paragraph Option,List Paragraph111,FooterText,numbered,Paragraphe de liste,Normal Sentence,b1,Figure_name,lp1,B1,bu1,列出段落"/>
    <w:basedOn w:val="Normal"/>
    <w:link w:val="ListParagraphChar"/>
    <w:uiPriority w:val="34"/>
    <w:qFormat/>
    <w:rsid w:val="0004621C"/>
    <w:pPr>
      <w:ind w:left="720"/>
      <w:contextualSpacing/>
    </w:pPr>
  </w:style>
  <w:style w:type="character" w:styleId="IntenseEmphasis">
    <w:name w:val="Intense Emphasis"/>
    <w:basedOn w:val="DefaultParagraphFont"/>
    <w:uiPriority w:val="21"/>
    <w:qFormat/>
    <w:rsid w:val="0004621C"/>
    <w:rPr>
      <w:i/>
      <w:iCs/>
      <w:color w:val="2F5496" w:themeColor="accent1" w:themeShade="BF"/>
    </w:rPr>
  </w:style>
  <w:style w:type="paragraph" w:styleId="IntenseQuote">
    <w:name w:val="Intense Quote"/>
    <w:basedOn w:val="Normal"/>
    <w:next w:val="Normal"/>
    <w:link w:val="IntenseQuoteChar"/>
    <w:uiPriority w:val="30"/>
    <w:qFormat/>
    <w:rsid w:val="00046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21C"/>
    <w:rPr>
      <w:i/>
      <w:iCs/>
      <w:color w:val="2F5496" w:themeColor="accent1" w:themeShade="BF"/>
    </w:rPr>
  </w:style>
  <w:style w:type="character" w:styleId="IntenseReference">
    <w:name w:val="Intense Reference"/>
    <w:basedOn w:val="DefaultParagraphFont"/>
    <w:uiPriority w:val="32"/>
    <w:qFormat/>
    <w:rsid w:val="0004621C"/>
    <w:rPr>
      <w:b/>
      <w:bCs/>
      <w:smallCaps/>
      <w:color w:val="2F5496" w:themeColor="accent1" w:themeShade="BF"/>
      <w:spacing w:val="5"/>
    </w:rPr>
  </w:style>
  <w:style w:type="character" w:customStyle="1" w:styleId="ListParagraphChar">
    <w:name w:val="List Paragraph Char"/>
    <w:aliases w:val="Resume Title Char,Use Case List Paragraph Char,Bullet List Paragraph Char,List Paragraph1 Char,List Paragraph11 Char,Bulleted List1 Char,Ref Char,List Paragraph Option Char,List Paragraph111 Char,FooterText Char,numbered Char,b1 Char"/>
    <w:link w:val="ListParagraph"/>
    <w:uiPriority w:val="34"/>
    <w:qFormat/>
    <w:locked/>
    <w:rsid w:val="00F83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Kumar Joshi</dc:creator>
  <cp:keywords/>
  <dc:description/>
  <cp:lastModifiedBy>ANAND KUMAR</cp:lastModifiedBy>
  <cp:revision>2</cp:revision>
  <cp:lastPrinted>2025-11-24T05:58:00Z</cp:lastPrinted>
  <dcterms:created xsi:type="dcterms:W3CDTF">2026-06-05T09:39:00Z</dcterms:created>
  <dcterms:modified xsi:type="dcterms:W3CDTF">2026-06-05T09:39:00Z</dcterms:modified>
</cp:coreProperties>
</file>