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5A4D" w:rsidRDefault="002F5A4D" w:rsidP="002F5A4D">
      <w:pPr>
        <w:shd w:val="clear" w:color="auto" w:fill="FFFFFF"/>
        <w:spacing w:after="150" w:line="360" w:lineRule="auto"/>
        <w:ind w:right="-57"/>
        <w:jc w:val="center"/>
        <w:rPr>
          <w:rFonts w:ascii="Bookman Old Style" w:hAnsi="Bookman Old Style"/>
          <w:b/>
          <w:bCs/>
          <w:sz w:val="24"/>
          <w:szCs w:val="24"/>
        </w:rPr>
      </w:pPr>
      <w:r w:rsidRPr="002F5A4D">
        <w:rPr>
          <w:rFonts w:ascii="Bookman Old Style" w:hAnsi="Bookman Old Style"/>
          <w:b/>
          <w:bCs/>
          <w:sz w:val="24"/>
          <w:szCs w:val="24"/>
        </w:rPr>
        <w:t>Some content for the topic-</w:t>
      </w:r>
    </w:p>
    <w:p w:rsidR="002F5A4D" w:rsidRPr="002F5A4D" w:rsidRDefault="002F5A4D" w:rsidP="002F5A4D">
      <w:pPr>
        <w:shd w:val="clear" w:color="auto" w:fill="FFFFFF"/>
        <w:spacing w:after="150" w:line="360" w:lineRule="auto"/>
        <w:ind w:right="-57"/>
        <w:jc w:val="center"/>
        <w:rPr>
          <w:rFonts w:ascii="Bookman Old Style" w:hAnsi="Bookman Old Style"/>
          <w:b/>
          <w:bCs/>
          <w:sz w:val="24"/>
          <w:szCs w:val="24"/>
        </w:rPr>
      </w:pPr>
      <w:r w:rsidRPr="002F5A4D">
        <w:rPr>
          <w:rFonts w:ascii="Bookman Old Style" w:hAnsi="Bookman Old Style"/>
          <w:b/>
          <w:bCs/>
          <w:sz w:val="24"/>
          <w:szCs w:val="24"/>
        </w:rPr>
        <w:t>“Policy &amp; regulatory consideration to support Digital Transformation</w:t>
      </w:r>
    </w:p>
    <w:p w:rsidR="00BC7838" w:rsidRPr="00515E26" w:rsidRDefault="00BC7838" w:rsidP="00515E26">
      <w:pPr>
        <w:shd w:val="clear" w:color="auto" w:fill="FFFFFF"/>
        <w:spacing w:after="150" w:line="360" w:lineRule="auto"/>
        <w:ind w:right="-57"/>
        <w:jc w:val="both"/>
        <w:rPr>
          <w:rFonts w:ascii="Bookman Old Style" w:hAnsi="Bookman Old Style"/>
          <w:sz w:val="24"/>
          <w:szCs w:val="24"/>
        </w:rPr>
      </w:pPr>
      <w:r w:rsidRPr="00515E26">
        <w:rPr>
          <w:rFonts w:ascii="Bookman Old Style" w:hAnsi="Bookman Old Style"/>
          <w:sz w:val="24"/>
          <w:szCs w:val="24"/>
        </w:rPr>
        <w:t>As on 30</w:t>
      </w:r>
      <w:r w:rsidRPr="00515E26">
        <w:rPr>
          <w:rFonts w:ascii="Bookman Old Style" w:hAnsi="Bookman Old Style"/>
          <w:sz w:val="24"/>
          <w:szCs w:val="24"/>
          <w:vertAlign w:val="superscript"/>
        </w:rPr>
        <w:t>th</w:t>
      </w:r>
      <w:r w:rsidRPr="00515E26">
        <w:rPr>
          <w:rFonts w:ascii="Bookman Old Style" w:hAnsi="Bookman Old Style"/>
          <w:sz w:val="24"/>
          <w:szCs w:val="24"/>
        </w:rPr>
        <w:t xml:space="preserve"> June 2025, Total Telephone Subscribers in India stood at 1218.36 Million</w:t>
      </w:r>
      <w:r w:rsidR="002F5A4D">
        <w:rPr>
          <w:rFonts w:ascii="Bookman Old Style" w:hAnsi="Bookman Old Style"/>
          <w:sz w:val="24"/>
          <w:szCs w:val="24"/>
        </w:rPr>
        <w:t xml:space="preserve"> (TRAI website).</w:t>
      </w:r>
    </w:p>
    <w:p w:rsidR="00333565" w:rsidRPr="00B57A22" w:rsidRDefault="00333565" w:rsidP="00333565">
      <w:pPr>
        <w:shd w:val="clear" w:color="auto" w:fill="FFFFFF"/>
        <w:spacing w:after="150" w:line="360" w:lineRule="auto"/>
        <w:ind w:right="-57"/>
        <w:jc w:val="both"/>
        <w:rPr>
          <w:rFonts w:ascii="Bookman Old Style" w:eastAsia="Times New Roman" w:hAnsi="Bookman Old Style" w:cs="Times New Roman"/>
          <w:color w:val="333333"/>
          <w:kern w:val="0"/>
          <w:sz w:val="26"/>
          <w:szCs w:val="26"/>
          <w:lang w:val="en-GB" w:eastAsia="en-GB" w:bidi="hi-IN"/>
          <w14:ligatures w14:val="none"/>
        </w:rPr>
      </w:pPr>
      <w:r w:rsidRPr="00C64E1C">
        <w:rPr>
          <w:rFonts w:ascii="Bookman Old Style" w:eastAsia="Times New Roman" w:hAnsi="Bookman Old Style" w:cs="Times New Roman"/>
          <w:color w:val="333333"/>
          <w:kern w:val="0"/>
          <w:sz w:val="26"/>
          <w:szCs w:val="26"/>
          <w:lang w:val="en-GB" w:eastAsia="en-GB" w:bidi="hi-IN"/>
          <w14:ligatures w14:val="none"/>
        </w:rPr>
        <w:t>The National Broadband Mission (NBM) 2.0, which start</w:t>
      </w:r>
      <w:r w:rsidRPr="00B57A22">
        <w:rPr>
          <w:rFonts w:ascii="Bookman Old Style" w:eastAsia="Times New Roman" w:hAnsi="Bookman Old Style" w:cs="Times New Roman"/>
          <w:color w:val="333333"/>
          <w:kern w:val="0"/>
          <w:sz w:val="26"/>
          <w:szCs w:val="26"/>
          <w:lang w:val="en-GB" w:eastAsia="en-GB" w:bidi="hi-IN"/>
          <w14:ligatures w14:val="none"/>
        </w:rPr>
        <w:t>ed</w:t>
      </w:r>
      <w:r w:rsidRPr="00C64E1C">
        <w:rPr>
          <w:rFonts w:ascii="Bookman Old Style" w:eastAsia="Times New Roman" w:hAnsi="Bookman Old Style" w:cs="Times New Roman"/>
          <w:color w:val="333333"/>
          <w:kern w:val="0"/>
          <w:sz w:val="26"/>
          <w:szCs w:val="26"/>
          <w:lang w:val="en-GB" w:eastAsia="en-GB" w:bidi="hi-IN"/>
          <w14:ligatures w14:val="none"/>
        </w:rPr>
        <w:t xml:space="preserve"> </w:t>
      </w:r>
      <w:r>
        <w:rPr>
          <w:rFonts w:ascii="Bookman Old Style" w:eastAsia="Times New Roman" w:hAnsi="Bookman Old Style" w:cs="Times New Roman"/>
          <w:color w:val="333333"/>
          <w:kern w:val="0"/>
          <w:sz w:val="26"/>
          <w:szCs w:val="26"/>
          <w:lang w:val="en-GB" w:eastAsia="en-GB" w:bidi="hi-IN"/>
          <w14:ligatures w14:val="none"/>
        </w:rPr>
        <w:t xml:space="preserve">from </w:t>
      </w:r>
      <w:r w:rsidRPr="00C64E1C">
        <w:rPr>
          <w:rFonts w:ascii="Bookman Old Style" w:eastAsia="Times New Roman" w:hAnsi="Bookman Old Style" w:cs="Times New Roman"/>
          <w:color w:val="333333"/>
          <w:kern w:val="0"/>
          <w:sz w:val="26"/>
          <w:szCs w:val="26"/>
          <w:lang w:val="en-GB" w:eastAsia="en-GB" w:bidi="hi-IN"/>
          <w14:ligatures w14:val="none"/>
        </w:rPr>
        <w:t>April 01, 2025, shall facilitate to tackle challenges of broadband connectivity in remote and difficult ar</w:t>
      </w:r>
      <w:r w:rsidRPr="00B57A22">
        <w:rPr>
          <w:rFonts w:ascii="Bookman Old Style" w:eastAsia="Times New Roman" w:hAnsi="Bookman Old Style" w:cs="Times New Roman"/>
          <w:color w:val="333333"/>
          <w:kern w:val="0"/>
          <w:sz w:val="26"/>
          <w:szCs w:val="26"/>
          <w:lang w:val="en-GB" w:eastAsia="en-GB" w:bidi="hi-IN"/>
          <w14:ligatures w14:val="none"/>
        </w:rPr>
        <w:t xml:space="preserve">eas through several initiatives such as, i) </w:t>
      </w:r>
      <w:r w:rsidRPr="00C64E1C">
        <w:rPr>
          <w:rFonts w:ascii="Bookman Old Style" w:eastAsia="Times New Roman" w:hAnsi="Bookman Old Style" w:cs="Times New Roman"/>
          <w:color w:val="333333"/>
          <w:kern w:val="0"/>
          <w:sz w:val="26"/>
          <w:szCs w:val="26"/>
          <w:lang w:val="en-GB" w:eastAsia="en-GB" w:bidi="hi-IN"/>
          <w14:ligatures w14:val="none"/>
        </w:rPr>
        <w:t>Promoting satellite broadband for effective, competitive connect</w:t>
      </w:r>
      <w:r w:rsidRPr="00B57A22">
        <w:rPr>
          <w:rFonts w:ascii="Bookman Old Style" w:eastAsia="Times New Roman" w:hAnsi="Bookman Old Style" w:cs="Times New Roman"/>
          <w:color w:val="333333"/>
          <w:kern w:val="0"/>
          <w:sz w:val="26"/>
          <w:szCs w:val="26"/>
          <w:lang w:val="en-GB" w:eastAsia="en-GB" w:bidi="hi-IN"/>
          <w14:ligatures w14:val="none"/>
        </w:rPr>
        <w:t>ivity in rural and remote areas and</w:t>
      </w:r>
      <w:r w:rsidRPr="00B57A22">
        <w:rPr>
          <w:rFonts w:ascii="Bookman Old Style" w:eastAsia="Times New Roman" w:hAnsi="Bookman Old Style" w:cs="Times New Roman"/>
          <w:b/>
          <w:bCs/>
          <w:color w:val="333333"/>
          <w:kern w:val="0"/>
          <w:sz w:val="26"/>
          <w:szCs w:val="26"/>
          <w:lang w:val="en-GB" w:eastAsia="en-GB" w:bidi="hi-IN"/>
          <w14:ligatures w14:val="none"/>
        </w:rPr>
        <w:t xml:space="preserve"> </w:t>
      </w:r>
      <w:r w:rsidRPr="00B57A22">
        <w:rPr>
          <w:rFonts w:ascii="Bookman Old Style" w:eastAsia="Times New Roman" w:hAnsi="Bookman Old Style" w:cs="Times New Roman"/>
          <w:color w:val="333333"/>
          <w:kern w:val="0"/>
          <w:sz w:val="26"/>
          <w:szCs w:val="26"/>
          <w:lang w:val="en-GB" w:eastAsia="en-GB" w:bidi="hi-IN"/>
          <w14:ligatures w14:val="none"/>
        </w:rPr>
        <w:t>ii)</w:t>
      </w:r>
      <w:r w:rsidRPr="00B57A22">
        <w:rPr>
          <w:rFonts w:ascii="Bookman Old Style" w:eastAsia="Times New Roman" w:hAnsi="Bookman Old Style" w:cs="Times New Roman"/>
          <w:b/>
          <w:bCs/>
          <w:color w:val="333333"/>
          <w:kern w:val="0"/>
          <w:sz w:val="26"/>
          <w:szCs w:val="26"/>
          <w:lang w:val="en-GB" w:eastAsia="en-GB" w:bidi="hi-IN"/>
          <w14:ligatures w14:val="none"/>
        </w:rPr>
        <w:t xml:space="preserve"> </w:t>
      </w:r>
      <w:r w:rsidRPr="00C64E1C">
        <w:rPr>
          <w:rFonts w:ascii="Bookman Old Style" w:eastAsia="Times New Roman" w:hAnsi="Bookman Old Style" w:cs="Times New Roman"/>
          <w:color w:val="333333"/>
          <w:kern w:val="0"/>
          <w:sz w:val="26"/>
          <w:szCs w:val="26"/>
          <w:lang w:val="en-GB" w:eastAsia="en-GB" w:bidi="hi-IN"/>
          <w14:ligatures w14:val="none"/>
        </w:rPr>
        <w:t>Coordinating with the Ministry of Power to use Optical Ground Wire (OPGW) from the power sector to enhance connectivity in hilly and remote regions.</w:t>
      </w:r>
      <w:r w:rsidRPr="00B57A22">
        <w:rPr>
          <w:rStyle w:val="FootnoteReference"/>
          <w:rFonts w:ascii="Bookman Old Style" w:eastAsia="Times New Roman" w:hAnsi="Bookman Old Style" w:cs="Times New Roman"/>
          <w:color w:val="333333"/>
          <w:kern w:val="0"/>
          <w:sz w:val="26"/>
          <w:szCs w:val="26"/>
          <w:lang w:val="en-GB" w:eastAsia="en-GB" w:bidi="hi-IN"/>
          <w14:ligatures w14:val="none"/>
        </w:rPr>
        <w:footnoteReference w:id="1"/>
      </w:r>
    </w:p>
    <w:p w:rsidR="0035666A" w:rsidRDefault="0035666A" w:rsidP="0035666A">
      <w:pPr>
        <w:spacing w:before="100" w:beforeAutospacing="1" w:after="100" w:afterAutospacing="1" w:line="360" w:lineRule="auto"/>
        <w:jc w:val="both"/>
        <w:rPr>
          <w:rFonts w:ascii="Bookman Old Style" w:eastAsia="Times New Roman" w:hAnsi="Bookman Old Style" w:cs="Times New Roman"/>
          <w:kern w:val="0"/>
          <w:sz w:val="26"/>
          <w:szCs w:val="26"/>
          <w:lang w:val="en-GB" w:eastAsia="en-GB" w:bidi="hi-IN"/>
          <w14:ligatures w14:val="none"/>
        </w:rPr>
      </w:pPr>
      <w:r w:rsidRPr="00C2253D">
        <w:rPr>
          <w:rFonts w:ascii="Bookman Old Style" w:eastAsia="Times New Roman" w:hAnsi="Bookman Old Style" w:cs="Times New Roman"/>
          <w:kern w:val="0"/>
          <w:sz w:val="26"/>
          <w:szCs w:val="26"/>
          <w:lang w:val="en-GB" w:eastAsia="en-GB" w:bidi="hi-IN"/>
          <w14:ligatures w14:val="none"/>
        </w:rPr>
        <w:t>To achieve this, policies should actively incentivize investment in next-generation networks such as 5G, fibre, and satellite broadband, with a strong focus on rural and underserved regions. Public–private partnerships and shared infrastructure models can play a pivotal role here, enabling faster and more cost-effective coverage expansion while ensuring healthy market competition.</w:t>
      </w:r>
    </w:p>
    <w:p w:rsidR="00BC7838" w:rsidRPr="006B0A06" w:rsidRDefault="00BC7838" w:rsidP="00BC7838">
      <w:pPr>
        <w:pStyle w:val="NormalWeb"/>
        <w:shd w:val="clear" w:color="auto" w:fill="FFFFFF"/>
        <w:spacing w:before="0" w:beforeAutospacing="0" w:after="150" w:afterAutospacing="0" w:line="276" w:lineRule="auto"/>
        <w:jc w:val="both"/>
        <w:rPr>
          <w:rFonts w:ascii="Bookman Old Style" w:hAnsi="Bookman Old Style" w:cs="Helvetica"/>
          <w:color w:val="333333"/>
        </w:rPr>
      </w:pPr>
      <w:r w:rsidRPr="006B0A06">
        <w:rPr>
          <w:rFonts w:ascii="Bookman Old Style" w:hAnsi="Bookman Old Style"/>
          <w:color w:val="333333"/>
        </w:rPr>
        <w:t>Since its launch in October 2022, 5G services have been rolled out in all States/ UTs across the country and presently it is available in 99.6% (773 out of 776) districts in the country including Lakshadweep. As on 28.02.2025, 4.69 lakhs 5G Base Transceiver Stations (BTSs) have been installed by the Telecom Service Providers (TSPs) across the country which is one of the fastest rollout of 5G network.</w:t>
      </w:r>
    </w:p>
    <w:p w:rsidR="00BC7838" w:rsidRPr="002F633D" w:rsidRDefault="00E720CF" w:rsidP="0035666A">
      <w:pPr>
        <w:spacing w:before="100" w:beforeAutospacing="1" w:after="100" w:afterAutospacing="1" w:line="360" w:lineRule="auto"/>
        <w:jc w:val="both"/>
        <w:rPr>
          <w:rFonts w:ascii="Bookman Old Style" w:eastAsia="Times New Roman" w:hAnsi="Bookman Old Style" w:cs="Times New Roman"/>
          <w:kern w:val="0"/>
          <w:lang w:val="en-GB" w:eastAsia="en-GB" w:bidi="hi-IN"/>
          <w14:ligatures w14:val="none"/>
        </w:rPr>
      </w:pPr>
      <w:hyperlink r:id="rId7" w:history="1">
        <w:r w:rsidR="00BC7838" w:rsidRPr="002F633D">
          <w:rPr>
            <w:rStyle w:val="Hyperlink"/>
            <w:rFonts w:ascii="Bookman Old Style" w:eastAsia="Times New Roman" w:hAnsi="Bookman Old Style" w:cs="Times New Roman"/>
            <w:kern w:val="0"/>
            <w:lang w:val="en-GB" w:eastAsia="en-GB" w:bidi="hi-IN"/>
            <w14:ligatures w14:val="none"/>
          </w:rPr>
          <w:t>https://www.pib.gov.in/PressReleasePage.aspx?PRID=2113855</w:t>
        </w:r>
      </w:hyperlink>
    </w:p>
    <w:p w:rsidR="00DE621E" w:rsidRDefault="00DE621E" w:rsidP="00A50A28">
      <w:pPr>
        <w:pStyle w:val="NormalWeb"/>
        <w:spacing w:line="360" w:lineRule="auto"/>
        <w:jc w:val="both"/>
        <w:rPr>
          <w:rFonts w:ascii="Bookman Old Style" w:hAnsi="Bookman Old Style"/>
          <w:sz w:val="26"/>
          <w:szCs w:val="26"/>
        </w:rPr>
      </w:pPr>
      <w:r w:rsidRPr="00DE621E">
        <w:rPr>
          <w:rFonts w:ascii="Bookman Old Style" w:hAnsi="Bookman Old Style"/>
          <w:b/>
          <w:bCs/>
          <w:sz w:val="26"/>
          <w:szCs w:val="26"/>
        </w:rPr>
        <w:t>BRICS Brasil 2025</w:t>
      </w:r>
      <w:r>
        <w:rPr>
          <w:rFonts w:ascii="Bookman Old Style" w:hAnsi="Bookman Old Style"/>
          <w:b/>
          <w:bCs/>
          <w:sz w:val="26"/>
          <w:szCs w:val="26"/>
        </w:rPr>
        <w:t xml:space="preserve"> </w:t>
      </w:r>
      <w:r>
        <w:rPr>
          <w:rFonts w:ascii="Bookman Old Style" w:hAnsi="Bookman Old Style"/>
          <w:sz w:val="26"/>
          <w:szCs w:val="26"/>
        </w:rPr>
        <w:t>- Assessing universal and meaningful connectivity in BRICS countries (May 2025)</w:t>
      </w:r>
    </w:p>
    <w:p w:rsidR="00A50A28" w:rsidRPr="000E2A95" w:rsidRDefault="00A50A28" w:rsidP="00A50A28">
      <w:pPr>
        <w:pStyle w:val="NormalWeb"/>
        <w:spacing w:line="360" w:lineRule="auto"/>
        <w:jc w:val="both"/>
        <w:rPr>
          <w:rFonts w:ascii="Bookman Old Style" w:hAnsi="Bookman Old Style"/>
          <w:sz w:val="26"/>
          <w:szCs w:val="26"/>
        </w:rPr>
      </w:pPr>
      <w:r>
        <w:rPr>
          <w:rFonts w:ascii="Bookman Old Style" w:hAnsi="Bookman Old Style"/>
          <w:sz w:val="26"/>
          <w:szCs w:val="26"/>
        </w:rPr>
        <w:lastRenderedPageBreak/>
        <w:t>Not everyone connects to the internet in the same way. If policymakers only rely on this broad, binary metric, their efforts to improve access for all will not succeed. Indeed, ignoring the huge differences in how people connect will only exacerbate inequalities online and offline.</w:t>
      </w:r>
    </w:p>
    <w:p w:rsidR="00B21BA4" w:rsidRPr="002F5A4D" w:rsidRDefault="00B21BA4" w:rsidP="002F5A4D">
      <w:pPr>
        <w:shd w:val="clear" w:color="auto" w:fill="FFFFFF"/>
        <w:jc w:val="both"/>
        <w:rPr>
          <w:rStyle w:val="uv3um"/>
          <w:rFonts w:ascii="Segoe UI Emoji" w:hAnsi="Segoe UI Emoji" w:cs="Arial"/>
          <w:color w:val="001D35"/>
          <w:sz w:val="27"/>
          <w:szCs w:val="27"/>
        </w:rPr>
      </w:pPr>
      <w:r w:rsidRPr="002F5A4D">
        <w:rPr>
          <w:rFonts w:ascii="Segoe UI Emoji" w:hAnsi="Segoe UI Emoji" w:cs="Arial"/>
          <w:color w:val="001D35"/>
          <w:sz w:val="27"/>
          <w:szCs w:val="27"/>
        </w:rPr>
        <w:t>A keynote address on policy and regulatory considerations for digital transformation should highlight the crucial role of supportive frameworks in enabling successful digital initiatives. It should emphasize that while technology is essential, it's the policy and regulatory landscape that can either foster or hinder progress. The address should cover key areas like data governance, cybersecurity, digital infrastructure, and skills development, while also stressing the need for agility and adaptability in policy-making to keep pace with rapid technological advancements.</w:t>
      </w:r>
      <w:r w:rsidRPr="002F5A4D">
        <w:rPr>
          <w:rStyle w:val="uv3um"/>
          <w:rFonts w:ascii="Segoe UI Emoji" w:hAnsi="Segoe UI Emoji" w:cs="Arial"/>
          <w:color w:val="001D35"/>
          <w:sz w:val="27"/>
          <w:szCs w:val="27"/>
        </w:rPr>
        <w:t> </w:t>
      </w:r>
    </w:p>
    <w:p w:rsidR="00B21BA4" w:rsidRDefault="00B21BA4" w:rsidP="00B21BA4">
      <w:pPr>
        <w:shd w:val="clear" w:color="auto" w:fill="FFFFFF"/>
        <w:rPr>
          <w:rStyle w:val="uv3um"/>
          <w:rFonts w:ascii="Arial" w:hAnsi="Arial" w:cs="Arial"/>
          <w:color w:val="001D35"/>
          <w:sz w:val="27"/>
          <w:szCs w:val="27"/>
        </w:rPr>
      </w:pPr>
      <w:r>
        <w:rPr>
          <w:rFonts w:ascii="Arial" w:hAnsi="Arial" w:cs="Arial"/>
          <w:color w:val="001D35"/>
          <w:sz w:val="27"/>
          <w:szCs w:val="27"/>
        </w:rPr>
        <w:t>Here's a more detailed breakdown of potential topics for such a keynote:</w:t>
      </w:r>
    </w:p>
    <w:p w:rsidR="00B21BA4" w:rsidRDefault="00B21BA4" w:rsidP="00B21BA4">
      <w:pPr>
        <w:shd w:val="clear" w:color="auto" w:fill="FFFFFF"/>
        <w:spacing w:line="390" w:lineRule="atLeast"/>
        <w:rPr>
          <w:rStyle w:val="uv3um"/>
          <w:rFonts w:ascii="Arial" w:hAnsi="Arial" w:cs="Arial"/>
          <w:color w:val="001D35"/>
          <w:sz w:val="27"/>
          <w:szCs w:val="27"/>
        </w:rPr>
      </w:pPr>
      <w:r>
        <w:rPr>
          <w:rFonts w:ascii="Arial" w:hAnsi="Arial" w:cs="Arial"/>
          <w:color w:val="001D35"/>
          <w:sz w:val="27"/>
          <w:szCs w:val="27"/>
        </w:rPr>
        <w:t>I. The Foundation: Why Policy and Regulation Matter</w:t>
      </w:r>
    </w:p>
    <w:p w:rsidR="00B21BA4" w:rsidRDefault="00B21BA4" w:rsidP="00B21BA4">
      <w:pPr>
        <w:numPr>
          <w:ilvl w:val="0"/>
          <w:numId w:val="1"/>
        </w:numPr>
        <w:shd w:val="clear" w:color="auto" w:fill="FFFFFF"/>
        <w:spacing w:after="120" w:line="330" w:lineRule="atLeast"/>
        <w:ind w:left="0"/>
        <w:rPr>
          <w:sz w:val="24"/>
          <w:szCs w:val="24"/>
        </w:rPr>
      </w:pPr>
      <w:r>
        <w:rPr>
          <w:rStyle w:val="Strong"/>
          <w:rFonts w:ascii="Arial" w:hAnsi="Arial" w:cs="Arial"/>
          <w:color w:val="001D35"/>
        </w:rPr>
        <w:t>Enabling Innovation:</w:t>
      </w:r>
    </w:p>
    <w:p w:rsidR="00B21BA4" w:rsidRDefault="00B21BA4" w:rsidP="00B21BA4">
      <w:pPr>
        <w:shd w:val="clear" w:color="auto" w:fill="FFFFFF"/>
        <w:spacing w:after="120" w:line="330" w:lineRule="atLeast"/>
        <w:rPr>
          <w:rFonts w:ascii="Arial" w:hAnsi="Arial" w:cs="Arial"/>
          <w:color w:val="545D7E"/>
          <w:spacing w:val="2"/>
        </w:rPr>
      </w:pPr>
      <w:r>
        <w:rPr>
          <w:rFonts w:ascii="Arial" w:hAnsi="Arial" w:cs="Arial"/>
          <w:color w:val="545D7E"/>
          <w:spacing w:val="2"/>
        </w:rPr>
        <w:t>Strong policies can create a predictable and trustworthy environment for businesses to invest in digital technologies and innovate.</w:t>
      </w:r>
    </w:p>
    <w:p w:rsidR="00B21BA4" w:rsidRDefault="00B21BA4" w:rsidP="00B21BA4">
      <w:pPr>
        <w:numPr>
          <w:ilvl w:val="0"/>
          <w:numId w:val="1"/>
        </w:numPr>
        <w:shd w:val="clear" w:color="auto" w:fill="FFFFFF"/>
        <w:spacing w:after="120" w:line="330" w:lineRule="atLeast"/>
        <w:ind w:left="0"/>
        <w:rPr>
          <w:rFonts w:ascii="Arial" w:hAnsi="Arial" w:cs="Arial"/>
          <w:color w:val="001D35"/>
        </w:rPr>
      </w:pPr>
      <w:r>
        <w:rPr>
          <w:rStyle w:val="Strong"/>
          <w:rFonts w:ascii="Arial" w:hAnsi="Arial" w:cs="Arial"/>
          <w:color w:val="001D35"/>
        </w:rPr>
        <w:t>Addressing Risks:</w:t>
      </w:r>
    </w:p>
    <w:p w:rsidR="00B21BA4" w:rsidRDefault="00B21BA4" w:rsidP="00B21BA4">
      <w:pPr>
        <w:shd w:val="clear" w:color="auto" w:fill="FFFFFF"/>
        <w:spacing w:after="120" w:line="330" w:lineRule="atLeast"/>
        <w:rPr>
          <w:rFonts w:ascii="Arial" w:hAnsi="Arial" w:cs="Arial"/>
          <w:color w:val="545D7E"/>
          <w:spacing w:val="2"/>
        </w:rPr>
      </w:pPr>
      <w:r>
        <w:rPr>
          <w:rFonts w:ascii="Arial" w:hAnsi="Arial" w:cs="Arial"/>
          <w:color w:val="545D7E"/>
          <w:spacing w:val="2"/>
        </w:rPr>
        <w:t>Regulations can mitigate potential harms associated with digital technologies, such as </w:t>
      </w:r>
      <w:hyperlink r:id="rId8" w:tgtFrame="_blank" w:history="1">
        <w:r>
          <w:rPr>
            <w:rStyle w:val="Hyperlink"/>
            <w:rFonts w:ascii="Arial" w:hAnsi="Arial" w:cs="Arial"/>
            <w:spacing w:val="2"/>
          </w:rPr>
          <w:t>data breaches</w:t>
        </w:r>
      </w:hyperlink>
      <w:r>
        <w:rPr>
          <w:rStyle w:val="m5tqyf"/>
          <w:rFonts w:ascii="Arial" w:hAnsi="Arial" w:cs="Arial"/>
          <w:color w:val="545D7E"/>
          <w:spacing w:val="2"/>
        </w:rPr>
        <w:t>,</w:t>
      </w:r>
      <w:r>
        <w:rPr>
          <w:rFonts w:ascii="Arial" w:hAnsi="Arial" w:cs="Arial"/>
          <w:color w:val="545D7E"/>
          <w:spacing w:val="2"/>
        </w:rPr>
        <w:t> </w:t>
      </w:r>
      <w:hyperlink r:id="rId9" w:tgtFrame="_blank" w:history="1">
        <w:r>
          <w:rPr>
            <w:rStyle w:val="Hyperlink"/>
            <w:rFonts w:ascii="Arial" w:hAnsi="Arial" w:cs="Arial"/>
            <w:spacing w:val="2"/>
          </w:rPr>
          <w:t>cyberattacks</w:t>
        </w:r>
      </w:hyperlink>
      <w:r>
        <w:rPr>
          <w:rStyle w:val="m5tqyf"/>
          <w:rFonts w:ascii="Arial" w:hAnsi="Arial" w:cs="Arial"/>
          <w:color w:val="545D7E"/>
          <w:spacing w:val="2"/>
        </w:rPr>
        <w:t>,</w:t>
      </w:r>
      <w:r>
        <w:rPr>
          <w:rFonts w:ascii="Arial" w:hAnsi="Arial" w:cs="Arial"/>
          <w:color w:val="545D7E"/>
          <w:spacing w:val="2"/>
        </w:rPr>
        <w:t> and </w:t>
      </w:r>
      <w:hyperlink r:id="rId10" w:tgtFrame="_blank" w:history="1">
        <w:r>
          <w:rPr>
            <w:rStyle w:val="Hyperlink"/>
            <w:rFonts w:ascii="Arial" w:hAnsi="Arial" w:cs="Arial"/>
            <w:spacing w:val="2"/>
          </w:rPr>
          <w:t>algorithmic bias</w:t>
        </w:r>
      </w:hyperlink>
      <w:r>
        <w:rPr>
          <w:rStyle w:val="m5tqyf"/>
          <w:rFonts w:ascii="Arial" w:hAnsi="Arial" w:cs="Arial"/>
          <w:color w:val="545D7E"/>
          <w:spacing w:val="2"/>
        </w:rPr>
        <w:t>.</w:t>
      </w:r>
    </w:p>
    <w:p w:rsidR="00B21BA4" w:rsidRDefault="00B21BA4" w:rsidP="00B21BA4">
      <w:pPr>
        <w:numPr>
          <w:ilvl w:val="0"/>
          <w:numId w:val="1"/>
        </w:numPr>
        <w:shd w:val="clear" w:color="auto" w:fill="FFFFFF"/>
        <w:spacing w:after="120" w:line="330" w:lineRule="atLeast"/>
        <w:ind w:left="0"/>
        <w:rPr>
          <w:rFonts w:ascii="Arial" w:hAnsi="Arial" w:cs="Arial"/>
          <w:color w:val="001D35"/>
        </w:rPr>
      </w:pPr>
      <w:r>
        <w:rPr>
          <w:rStyle w:val="Strong"/>
          <w:rFonts w:ascii="Arial" w:hAnsi="Arial" w:cs="Arial"/>
          <w:color w:val="001D35"/>
        </w:rPr>
        <w:t>Promoting Inclusion:</w:t>
      </w:r>
    </w:p>
    <w:p w:rsidR="00B21BA4" w:rsidRDefault="00B21BA4" w:rsidP="00B21BA4">
      <w:pPr>
        <w:shd w:val="clear" w:color="auto" w:fill="FFFFFF"/>
        <w:spacing w:after="120" w:line="330" w:lineRule="atLeast"/>
        <w:rPr>
          <w:rFonts w:ascii="Arial" w:hAnsi="Arial" w:cs="Arial"/>
          <w:color w:val="545D7E"/>
          <w:spacing w:val="2"/>
        </w:rPr>
      </w:pPr>
      <w:r>
        <w:rPr>
          <w:rFonts w:ascii="Arial" w:hAnsi="Arial" w:cs="Arial"/>
          <w:color w:val="545D7E"/>
          <w:spacing w:val="2"/>
        </w:rPr>
        <w:t>Policies can ensure that the benefits of digital transformation are shared widely and that no one is left behind, particularly in terms of access to digital infrastructure and skills.</w:t>
      </w:r>
    </w:p>
    <w:p w:rsidR="00B21BA4" w:rsidRDefault="00B21BA4" w:rsidP="00B21BA4">
      <w:pPr>
        <w:numPr>
          <w:ilvl w:val="0"/>
          <w:numId w:val="1"/>
        </w:numPr>
        <w:shd w:val="clear" w:color="auto" w:fill="FFFFFF"/>
        <w:spacing w:after="0" w:line="330" w:lineRule="atLeast"/>
        <w:ind w:left="0"/>
        <w:rPr>
          <w:rFonts w:ascii="Arial" w:hAnsi="Arial" w:cs="Arial"/>
          <w:color w:val="001D35"/>
        </w:rPr>
      </w:pPr>
      <w:r>
        <w:rPr>
          <w:rStyle w:val="Strong"/>
          <w:rFonts w:ascii="Arial" w:hAnsi="Arial" w:cs="Arial"/>
          <w:color w:val="001D35"/>
        </w:rPr>
        <w:t>Fostering Competition:</w:t>
      </w:r>
    </w:p>
    <w:p w:rsidR="00B21BA4" w:rsidRDefault="00B21BA4" w:rsidP="00B21BA4">
      <w:pPr>
        <w:shd w:val="clear" w:color="auto" w:fill="FFFFFF"/>
        <w:spacing w:line="330" w:lineRule="atLeast"/>
        <w:rPr>
          <w:rStyle w:val="uv3um"/>
          <w:color w:val="545D7E"/>
          <w:spacing w:val="2"/>
        </w:rPr>
      </w:pPr>
      <w:r>
        <w:rPr>
          <w:rFonts w:ascii="Arial" w:hAnsi="Arial" w:cs="Arial"/>
          <w:color w:val="545D7E"/>
          <w:spacing w:val="2"/>
        </w:rPr>
        <w:t>Regulations can prevent monopolies and promote healthy competition among digital service providers.</w:t>
      </w:r>
      <w:r>
        <w:rPr>
          <w:rStyle w:val="uv3um"/>
          <w:rFonts w:ascii="Arial" w:hAnsi="Arial" w:cs="Arial"/>
          <w:color w:val="545D7E"/>
          <w:spacing w:val="2"/>
        </w:rPr>
        <w:t> </w:t>
      </w:r>
    </w:p>
    <w:p w:rsidR="00B21BA4" w:rsidRDefault="00B21BA4" w:rsidP="00B21BA4">
      <w:pPr>
        <w:shd w:val="clear" w:color="auto" w:fill="FFFFFF"/>
        <w:spacing w:line="390" w:lineRule="atLeast"/>
        <w:rPr>
          <w:rStyle w:val="uv3um"/>
          <w:rFonts w:ascii="Arial" w:hAnsi="Arial" w:cs="Arial"/>
          <w:color w:val="001D35"/>
          <w:sz w:val="27"/>
          <w:szCs w:val="27"/>
        </w:rPr>
      </w:pPr>
      <w:r>
        <w:rPr>
          <w:rFonts w:ascii="Arial" w:hAnsi="Arial" w:cs="Arial"/>
          <w:color w:val="001D35"/>
          <w:sz w:val="27"/>
          <w:szCs w:val="27"/>
        </w:rPr>
        <w:t>II. Key Policy and Regulatory Areas</w:t>
      </w:r>
    </w:p>
    <w:p w:rsidR="00B21BA4" w:rsidRDefault="00E720CF" w:rsidP="00B21BA4">
      <w:pPr>
        <w:numPr>
          <w:ilvl w:val="0"/>
          <w:numId w:val="2"/>
        </w:numPr>
        <w:shd w:val="clear" w:color="auto" w:fill="FFFFFF"/>
        <w:spacing w:after="120" w:line="330" w:lineRule="atLeast"/>
        <w:ind w:left="0"/>
        <w:rPr>
          <w:sz w:val="24"/>
          <w:szCs w:val="24"/>
        </w:rPr>
      </w:pPr>
      <w:hyperlink r:id="rId11" w:tgtFrame="_blank" w:history="1">
        <w:r w:rsidR="00B21BA4">
          <w:rPr>
            <w:rStyle w:val="Hyperlink"/>
            <w:rFonts w:ascii="Arial" w:hAnsi="Arial" w:cs="Arial"/>
            <w:b/>
            <w:bCs/>
          </w:rPr>
          <w:t>Data Governance</w:t>
        </w:r>
      </w:hyperlink>
      <w:r w:rsidR="00B21BA4">
        <w:rPr>
          <w:rStyle w:val="Strong"/>
          <w:rFonts w:ascii="Arial" w:hAnsi="Arial" w:cs="Arial"/>
          <w:color w:val="001D35"/>
        </w:rPr>
        <w:t>:</w:t>
      </w:r>
    </w:p>
    <w:p w:rsidR="00B21BA4" w:rsidRDefault="00B21BA4" w:rsidP="00B21BA4">
      <w:pPr>
        <w:numPr>
          <w:ilvl w:val="1"/>
          <w:numId w:val="3"/>
        </w:numPr>
        <w:shd w:val="clear" w:color="auto" w:fill="FFFFFF"/>
        <w:spacing w:after="120" w:line="330" w:lineRule="atLeast"/>
        <w:ind w:left="0"/>
        <w:rPr>
          <w:rFonts w:ascii="Arial" w:hAnsi="Arial" w:cs="Arial"/>
          <w:color w:val="545D7E"/>
          <w:spacing w:val="2"/>
        </w:rPr>
      </w:pPr>
      <w:r>
        <w:rPr>
          <w:rStyle w:val="Strong"/>
          <w:rFonts w:ascii="Arial" w:hAnsi="Arial" w:cs="Arial"/>
          <w:color w:val="545D7E"/>
          <w:spacing w:val="2"/>
        </w:rPr>
        <w:t>Data Privacy:</w:t>
      </w:r>
      <w:r>
        <w:rPr>
          <w:rFonts w:ascii="Arial" w:hAnsi="Arial" w:cs="Arial"/>
          <w:color w:val="545D7E"/>
          <w:spacing w:val="2"/>
        </w:rPr>
        <w:t> Establishing clear rules for the collection, use, and protection of personal data is paramount. This includes considering </w:t>
      </w:r>
      <w:hyperlink r:id="rId12" w:tgtFrame="_blank" w:history="1">
        <w:r>
          <w:rPr>
            <w:rStyle w:val="Hyperlink"/>
            <w:rFonts w:ascii="Arial" w:hAnsi="Arial" w:cs="Arial"/>
            <w:spacing w:val="2"/>
          </w:rPr>
          <w:t>data localization</w:t>
        </w:r>
      </w:hyperlink>
      <w:r>
        <w:rPr>
          <w:rFonts w:ascii="Arial" w:hAnsi="Arial" w:cs="Arial"/>
          <w:color w:val="545D7E"/>
          <w:spacing w:val="2"/>
        </w:rPr>
        <w:t> requirements, </w:t>
      </w:r>
      <w:hyperlink r:id="rId13" w:tgtFrame="_blank" w:history="1">
        <w:r>
          <w:rPr>
            <w:rStyle w:val="Hyperlink"/>
            <w:rFonts w:ascii="Arial" w:hAnsi="Arial" w:cs="Arial"/>
            <w:spacing w:val="2"/>
          </w:rPr>
          <w:t>data sovereignty</w:t>
        </w:r>
      </w:hyperlink>
      <w:r>
        <w:rPr>
          <w:rFonts w:ascii="Arial" w:hAnsi="Arial" w:cs="Arial"/>
          <w:color w:val="545D7E"/>
          <w:spacing w:val="2"/>
        </w:rPr>
        <w:t> principles, and </w:t>
      </w:r>
      <w:hyperlink r:id="rId14" w:tgtFrame="_blank" w:history="1">
        <w:r>
          <w:rPr>
            <w:rStyle w:val="Hyperlink"/>
            <w:rFonts w:ascii="Arial" w:hAnsi="Arial" w:cs="Arial"/>
            <w:spacing w:val="2"/>
          </w:rPr>
          <w:t>data portability</w:t>
        </w:r>
      </w:hyperlink>
      <w:r>
        <w:rPr>
          <w:rStyle w:val="m5tqyf"/>
          <w:rFonts w:ascii="Arial" w:hAnsi="Arial" w:cs="Arial"/>
          <w:color w:val="545D7E"/>
          <w:spacing w:val="2"/>
        </w:rPr>
        <w:t>.</w:t>
      </w:r>
    </w:p>
    <w:p w:rsidR="00B21BA4" w:rsidRDefault="00B21BA4" w:rsidP="00B21BA4">
      <w:pPr>
        <w:numPr>
          <w:ilvl w:val="1"/>
          <w:numId w:val="3"/>
        </w:numPr>
        <w:shd w:val="clear" w:color="auto" w:fill="FFFFFF"/>
        <w:spacing w:after="120" w:line="330" w:lineRule="atLeast"/>
        <w:ind w:left="0"/>
        <w:rPr>
          <w:rFonts w:ascii="Arial" w:hAnsi="Arial" w:cs="Arial"/>
          <w:color w:val="545D7E"/>
          <w:spacing w:val="2"/>
        </w:rPr>
      </w:pPr>
      <w:r>
        <w:rPr>
          <w:rStyle w:val="Strong"/>
          <w:rFonts w:ascii="Arial" w:hAnsi="Arial" w:cs="Arial"/>
          <w:color w:val="545D7E"/>
          <w:spacing w:val="2"/>
        </w:rPr>
        <w:lastRenderedPageBreak/>
        <w:t>Data Security:</w:t>
      </w:r>
      <w:r>
        <w:rPr>
          <w:rFonts w:ascii="Arial" w:hAnsi="Arial" w:cs="Arial"/>
          <w:color w:val="545D7E"/>
          <w:spacing w:val="2"/>
        </w:rPr>
        <w:t> Regulations should address cybersecurity threats, promote secure data handling practices, and encourage the development of secure digital infrastructure.</w:t>
      </w:r>
    </w:p>
    <w:p w:rsidR="00B21BA4" w:rsidRDefault="00B21BA4" w:rsidP="00B21BA4">
      <w:pPr>
        <w:numPr>
          <w:ilvl w:val="1"/>
          <w:numId w:val="3"/>
        </w:numPr>
        <w:shd w:val="clear" w:color="auto" w:fill="FFFFFF"/>
        <w:spacing w:after="0" w:line="330" w:lineRule="atLeast"/>
        <w:ind w:left="0"/>
        <w:rPr>
          <w:rFonts w:ascii="Arial" w:hAnsi="Arial" w:cs="Arial"/>
          <w:color w:val="545D7E"/>
          <w:spacing w:val="2"/>
        </w:rPr>
      </w:pPr>
      <w:r>
        <w:rPr>
          <w:rStyle w:val="Strong"/>
          <w:rFonts w:ascii="Arial" w:hAnsi="Arial" w:cs="Arial"/>
          <w:color w:val="545D7E"/>
          <w:spacing w:val="2"/>
        </w:rPr>
        <w:t>Data Sharing:</w:t>
      </w:r>
      <w:r>
        <w:rPr>
          <w:rFonts w:ascii="Arial" w:hAnsi="Arial" w:cs="Arial"/>
          <w:color w:val="545D7E"/>
          <w:spacing w:val="2"/>
        </w:rPr>
        <w:t> Policies can facilitate responsible data sharing between businesses, governments, and researchers to unlock new insights and opportunities.</w:t>
      </w:r>
    </w:p>
    <w:p w:rsidR="00B21BA4" w:rsidRDefault="00E720CF" w:rsidP="00B21BA4">
      <w:pPr>
        <w:numPr>
          <w:ilvl w:val="0"/>
          <w:numId w:val="3"/>
        </w:numPr>
        <w:shd w:val="clear" w:color="auto" w:fill="FFFFFF"/>
        <w:spacing w:after="120" w:line="330" w:lineRule="atLeast"/>
        <w:ind w:left="0"/>
        <w:rPr>
          <w:rFonts w:ascii="Arial" w:hAnsi="Arial" w:cs="Arial"/>
          <w:color w:val="001D35"/>
        </w:rPr>
      </w:pPr>
      <w:hyperlink r:id="rId15" w:tgtFrame="_blank" w:history="1">
        <w:r w:rsidR="00B21BA4">
          <w:rPr>
            <w:rStyle w:val="Hyperlink"/>
            <w:rFonts w:ascii="Arial" w:hAnsi="Arial" w:cs="Arial"/>
            <w:b/>
            <w:bCs/>
          </w:rPr>
          <w:t>Digital Infrastructure</w:t>
        </w:r>
      </w:hyperlink>
      <w:r w:rsidR="00B21BA4">
        <w:rPr>
          <w:rStyle w:val="Strong"/>
          <w:rFonts w:ascii="Arial" w:hAnsi="Arial" w:cs="Arial"/>
          <w:color w:val="001D35"/>
        </w:rPr>
        <w:t>:</w:t>
      </w:r>
    </w:p>
    <w:p w:rsidR="00B21BA4" w:rsidRDefault="00B21BA4" w:rsidP="00B21BA4">
      <w:pPr>
        <w:numPr>
          <w:ilvl w:val="1"/>
          <w:numId w:val="3"/>
        </w:numPr>
        <w:shd w:val="clear" w:color="auto" w:fill="FFFFFF"/>
        <w:spacing w:after="120" w:line="330" w:lineRule="atLeast"/>
        <w:ind w:left="0"/>
        <w:rPr>
          <w:rFonts w:ascii="Arial" w:hAnsi="Arial" w:cs="Arial"/>
          <w:color w:val="545D7E"/>
          <w:spacing w:val="2"/>
        </w:rPr>
      </w:pPr>
      <w:r>
        <w:rPr>
          <w:rStyle w:val="Strong"/>
          <w:rFonts w:ascii="Arial" w:hAnsi="Arial" w:cs="Arial"/>
          <w:color w:val="545D7E"/>
          <w:spacing w:val="2"/>
        </w:rPr>
        <w:t>Broadband Access:</w:t>
      </w:r>
      <w:r>
        <w:rPr>
          <w:rFonts w:ascii="Arial" w:hAnsi="Arial" w:cs="Arial"/>
          <w:color w:val="545D7E"/>
          <w:spacing w:val="2"/>
        </w:rPr>
        <w:t> Ensuring affordable and reliable internet access for all citizens is a fundamental requirement for digital transformation.</w:t>
      </w:r>
    </w:p>
    <w:p w:rsidR="00B21BA4" w:rsidRDefault="00E720CF" w:rsidP="00B21BA4">
      <w:pPr>
        <w:numPr>
          <w:ilvl w:val="1"/>
          <w:numId w:val="3"/>
        </w:numPr>
        <w:shd w:val="clear" w:color="auto" w:fill="FFFFFF"/>
        <w:spacing w:after="120" w:line="330" w:lineRule="atLeast"/>
        <w:ind w:left="0"/>
        <w:rPr>
          <w:rFonts w:ascii="Arial" w:hAnsi="Arial" w:cs="Arial"/>
          <w:color w:val="545D7E"/>
          <w:spacing w:val="2"/>
        </w:rPr>
      </w:pPr>
      <w:hyperlink r:id="rId16" w:tgtFrame="_blank" w:history="1">
        <w:r w:rsidR="00B21BA4">
          <w:rPr>
            <w:rStyle w:val="Hyperlink"/>
            <w:rFonts w:ascii="Arial" w:hAnsi="Arial" w:cs="Arial"/>
            <w:b/>
            <w:bCs/>
            <w:spacing w:val="2"/>
          </w:rPr>
          <w:t>Telecommunications Regulation</w:t>
        </w:r>
      </w:hyperlink>
      <w:r w:rsidR="00B21BA4">
        <w:rPr>
          <w:rStyle w:val="Strong"/>
          <w:rFonts w:ascii="Arial" w:hAnsi="Arial" w:cs="Arial"/>
          <w:color w:val="545D7E"/>
          <w:spacing w:val="2"/>
        </w:rPr>
        <w:t>:</w:t>
      </w:r>
      <w:r w:rsidR="00B21BA4">
        <w:rPr>
          <w:rFonts w:ascii="Arial" w:hAnsi="Arial" w:cs="Arial"/>
          <w:color w:val="545D7E"/>
          <w:spacing w:val="2"/>
        </w:rPr>
        <w:t> Policies should promote competition, investment, and innovation in the telecommunications sector.</w:t>
      </w:r>
    </w:p>
    <w:p w:rsidR="00B21BA4" w:rsidRDefault="00E720CF" w:rsidP="00B21BA4">
      <w:pPr>
        <w:numPr>
          <w:ilvl w:val="1"/>
          <w:numId w:val="3"/>
        </w:numPr>
        <w:shd w:val="clear" w:color="auto" w:fill="FFFFFF"/>
        <w:spacing w:after="0" w:line="330" w:lineRule="atLeast"/>
        <w:ind w:left="0"/>
        <w:rPr>
          <w:rFonts w:ascii="Arial" w:hAnsi="Arial" w:cs="Arial"/>
          <w:color w:val="545D7E"/>
          <w:spacing w:val="2"/>
        </w:rPr>
      </w:pPr>
      <w:hyperlink r:id="rId17" w:tgtFrame="_blank" w:history="1">
        <w:r w:rsidR="00B21BA4">
          <w:rPr>
            <w:rStyle w:val="Hyperlink"/>
            <w:rFonts w:ascii="Arial" w:hAnsi="Arial" w:cs="Arial"/>
            <w:b/>
            <w:bCs/>
            <w:spacing w:val="2"/>
          </w:rPr>
          <w:t>5G</w:t>
        </w:r>
      </w:hyperlink>
      <w:r w:rsidR="00B21BA4">
        <w:rPr>
          <w:rStyle w:val="Strong"/>
          <w:rFonts w:ascii="Arial" w:hAnsi="Arial" w:cs="Arial"/>
          <w:color w:val="545D7E"/>
          <w:spacing w:val="2"/>
        </w:rPr>
        <w:t> and Beyond:</w:t>
      </w:r>
      <w:r w:rsidR="00B21BA4">
        <w:rPr>
          <w:rFonts w:ascii="Arial" w:hAnsi="Arial" w:cs="Arial"/>
          <w:color w:val="545D7E"/>
          <w:spacing w:val="2"/>
        </w:rPr>
        <w:t> Regulations should anticipate and adapt to the rollout of new technologies like 5G and future generations of wireless technology.</w:t>
      </w:r>
    </w:p>
    <w:p w:rsidR="00B21BA4" w:rsidRDefault="00E720CF" w:rsidP="00B21BA4">
      <w:pPr>
        <w:numPr>
          <w:ilvl w:val="0"/>
          <w:numId w:val="3"/>
        </w:numPr>
        <w:shd w:val="clear" w:color="auto" w:fill="FFFFFF"/>
        <w:spacing w:after="120" w:line="330" w:lineRule="atLeast"/>
        <w:ind w:left="0"/>
        <w:rPr>
          <w:rFonts w:ascii="Arial" w:hAnsi="Arial" w:cs="Arial"/>
          <w:color w:val="001D35"/>
        </w:rPr>
      </w:pPr>
      <w:hyperlink r:id="rId18" w:tgtFrame="_blank" w:history="1">
        <w:r w:rsidR="00B21BA4">
          <w:rPr>
            <w:rStyle w:val="Hyperlink"/>
            <w:rFonts w:ascii="Arial" w:hAnsi="Arial" w:cs="Arial"/>
            <w:b/>
            <w:bCs/>
          </w:rPr>
          <w:t>Cybersecurity</w:t>
        </w:r>
      </w:hyperlink>
      <w:r w:rsidR="00B21BA4">
        <w:rPr>
          <w:rStyle w:val="Strong"/>
          <w:rFonts w:ascii="Arial" w:hAnsi="Arial" w:cs="Arial"/>
          <w:color w:val="001D35"/>
        </w:rPr>
        <w:t>:</w:t>
      </w:r>
    </w:p>
    <w:p w:rsidR="00B21BA4" w:rsidRDefault="00B21BA4" w:rsidP="00B21BA4">
      <w:pPr>
        <w:numPr>
          <w:ilvl w:val="1"/>
          <w:numId w:val="3"/>
        </w:numPr>
        <w:shd w:val="clear" w:color="auto" w:fill="FFFFFF"/>
        <w:spacing w:after="120" w:line="330" w:lineRule="atLeast"/>
        <w:ind w:left="0"/>
        <w:rPr>
          <w:rFonts w:ascii="Arial" w:hAnsi="Arial" w:cs="Arial"/>
          <w:color w:val="545D7E"/>
          <w:spacing w:val="2"/>
        </w:rPr>
      </w:pPr>
      <w:r>
        <w:rPr>
          <w:rStyle w:val="Strong"/>
          <w:rFonts w:ascii="Arial" w:hAnsi="Arial" w:cs="Arial"/>
          <w:color w:val="545D7E"/>
          <w:spacing w:val="2"/>
        </w:rPr>
        <w:t>Cybersecurity Frameworks:</w:t>
      </w:r>
      <w:r>
        <w:rPr>
          <w:rFonts w:ascii="Arial" w:hAnsi="Arial" w:cs="Arial"/>
          <w:color w:val="545D7E"/>
          <w:spacing w:val="2"/>
        </w:rPr>
        <w:t> Establishing national cybersecurity strategies and frameworks to protect critical infrastructure and sensitive data.</w:t>
      </w:r>
    </w:p>
    <w:p w:rsidR="00B21BA4" w:rsidRDefault="00B21BA4" w:rsidP="00B21BA4">
      <w:pPr>
        <w:numPr>
          <w:ilvl w:val="1"/>
          <w:numId w:val="3"/>
        </w:numPr>
        <w:shd w:val="clear" w:color="auto" w:fill="FFFFFF"/>
        <w:spacing w:after="120" w:line="330" w:lineRule="atLeast"/>
        <w:ind w:left="0"/>
        <w:rPr>
          <w:rFonts w:ascii="Arial" w:hAnsi="Arial" w:cs="Arial"/>
          <w:color w:val="545D7E"/>
          <w:spacing w:val="2"/>
        </w:rPr>
      </w:pPr>
      <w:r>
        <w:rPr>
          <w:rStyle w:val="Strong"/>
          <w:rFonts w:ascii="Arial" w:hAnsi="Arial" w:cs="Arial"/>
          <w:color w:val="545D7E"/>
          <w:spacing w:val="2"/>
        </w:rPr>
        <w:t>Incident Response:</w:t>
      </w:r>
      <w:r>
        <w:rPr>
          <w:rFonts w:ascii="Arial" w:hAnsi="Arial" w:cs="Arial"/>
          <w:color w:val="545D7E"/>
          <w:spacing w:val="2"/>
        </w:rPr>
        <w:t> Developing mechanisms for reporting and responding to cybersecurity incidents effectively.</w:t>
      </w:r>
    </w:p>
    <w:p w:rsidR="00B21BA4" w:rsidRDefault="00B21BA4" w:rsidP="00B21BA4">
      <w:pPr>
        <w:numPr>
          <w:ilvl w:val="1"/>
          <w:numId w:val="3"/>
        </w:numPr>
        <w:shd w:val="clear" w:color="auto" w:fill="FFFFFF"/>
        <w:spacing w:after="0" w:line="330" w:lineRule="atLeast"/>
        <w:ind w:left="0"/>
        <w:rPr>
          <w:rFonts w:ascii="Arial" w:hAnsi="Arial" w:cs="Arial"/>
          <w:color w:val="545D7E"/>
          <w:spacing w:val="2"/>
        </w:rPr>
      </w:pPr>
      <w:r>
        <w:rPr>
          <w:rStyle w:val="Strong"/>
          <w:rFonts w:ascii="Arial" w:hAnsi="Arial" w:cs="Arial"/>
          <w:color w:val="545D7E"/>
          <w:spacing w:val="2"/>
        </w:rPr>
        <w:t>International Cooperation:</w:t>
      </w:r>
      <w:r>
        <w:rPr>
          <w:rFonts w:ascii="Arial" w:hAnsi="Arial" w:cs="Arial"/>
          <w:color w:val="545D7E"/>
          <w:spacing w:val="2"/>
        </w:rPr>
        <w:t> Fostering collaboration with other nations to address cross-border cybersecurity threats.</w:t>
      </w:r>
    </w:p>
    <w:p w:rsidR="00B21BA4" w:rsidRDefault="00B21BA4" w:rsidP="00B21BA4">
      <w:pPr>
        <w:numPr>
          <w:ilvl w:val="0"/>
          <w:numId w:val="3"/>
        </w:numPr>
        <w:shd w:val="clear" w:color="auto" w:fill="FFFFFF"/>
        <w:spacing w:after="120" w:line="330" w:lineRule="atLeast"/>
        <w:ind w:left="0"/>
        <w:rPr>
          <w:rFonts w:ascii="Arial" w:hAnsi="Arial" w:cs="Arial"/>
          <w:color w:val="001D35"/>
        </w:rPr>
      </w:pPr>
      <w:r>
        <w:rPr>
          <w:rStyle w:val="Strong"/>
          <w:rFonts w:ascii="Arial" w:hAnsi="Arial" w:cs="Arial"/>
          <w:color w:val="001D35"/>
        </w:rPr>
        <w:t>Digital Skills:</w:t>
      </w:r>
    </w:p>
    <w:p w:rsidR="00B21BA4" w:rsidRDefault="00B21BA4" w:rsidP="00B21BA4">
      <w:pPr>
        <w:numPr>
          <w:ilvl w:val="1"/>
          <w:numId w:val="3"/>
        </w:numPr>
        <w:shd w:val="clear" w:color="auto" w:fill="FFFFFF"/>
        <w:spacing w:after="120" w:line="330" w:lineRule="atLeast"/>
        <w:ind w:left="0"/>
        <w:rPr>
          <w:rFonts w:ascii="Arial" w:hAnsi="Arial" w:cs="Arial"/>
          <w:color w:val="545D7E"/>
          <w:spacing w:val="2"/>
        </w:rPr>
      </w:pPr>
      <w:r>
        <w:rPr>
          <w:rStyle w:val="Strong"/>
          <w:rFonts w:ascii="Arial" w:hAnsi="Arial" w:cs="Arial"/>
          <w:color w:val="545D7E"/>
          <w:spacing w:val="2"/>
        </w:rPr>
        <w:t>Education and Training:</w:t>
      </w:r>
      <w:r>
        <w:rPr>
          <w:rFonts w:ascii="Arial" w:hAnsi="Arial" w:cs="Arial"/>
          <w:color w:val="545D7E"/>
          <w:spacing w:val="2"/>
        </w:rPr>
        <w:t> Investing in programs to equip citizens with the digital skills needed to participate in the digital economy.</w:t>
      </w:r>
    </w:p>
    <w:p w:rsidR="00B21BA4" w:rsidRDefault="00B21BA4" w:rsidP="00B21BA4">
      <w:pPr>
        <w:numPr>
          <w:ilvl w:val="1"/>
          <w:numId w:val="3"/>
        </w:numPr>
        <w:shd w:val="clear" w:color="auto" w:fill="FFFFFF"/>
        <w:spacing w:after="120" w:line="330" w:lineRule="atLeast"/>
        <w:ind w:left="0"/>
        <w:rPr>
          <w:rFonts w:ascii="Arial" w:hAnsi="Arial" w:cs="Arial"/>
          <w:color w:val="545D7E"/>
          <w:spacing w:val="2"/>
        </w:rPr>
      </w:pPr>
      <w:r>
        <w:rPr>
          <w:rStyle w:val="Strong"/>
          <w:rFonts w:ascii="Arial" w:hAnsi="Arial" w:cs="Arial"/>
          <w:color w:val="545D7E"/>
          <w:spacing w:val="2"/>
        </w:rPr>
        <w:t>Workforce Development:</w:t>
      </w:r>
      <w:r>
        <w:rPr>
          <w:rFonts w:ascii="Arial" w:hAnsi="Arial" w:cs="Arial"/>
          <w:color w:val="545D7E"/>
          <w:spacing w:val="2"/>
        </w:rPr>
        <w:t> Supporting businesses in reskilling and upskilling their workforce to adapt to new technologies.</w:t>
      </w:r>
    </w:p>
    <w:p w:rsidR="00B21BA4" w:rsidRDefault="00B21BA4" w:rsidP="00B21BA4">
      <w:pPr>
        <w:numPr>
          <w:ilvl w:val="1"/>
          <w:numId w:val="3"/>
        </w:numPr>
        <w:shd w:val="clear" w:color="auto" w:fill="FFFFFF"/>
        <w:spacing w:after="0" w:line="330" w:lineRule="atLeast"/>
        <w:ind w:left="0"/>
        <w:rPr>
          <w:rFonts w:ascii="Arial" w:hAnsi="Arial" w:cs="Arial"/>
          <w:color w:val="545D7E"/>
          <w:spacing w:val="2"/>
        </w:rPr>
      </w:pPr>
      <w:r>
        <w:rPr>
          <w:rStyle w:val="Strong"/>
          <w:rFonts w:ascii="Arial" w:hAnsi="Arial" w:cs="Arial"/>
          <w:color w:val="545D7E"/>
          <w:spacing w:val="2"/>
        </w:rPr>
        <w:t>STEM Education:</w:t>
      </w:r>
      <w:r>
        <w:rPr>
          <w:rFonts w:ascii="Arial" w:hAnsi="Arial" w:cs="Arial"/>
          <w:color w:val="545D7E"/>
          <w:spacing w:val="2"/>
        </w:rPr>
        <w:t> Promoting science, technology, engineering, and mathematics (STEM) education to build a strong foundation for future digital innovation.</w:t>
      </w:r>
    </w:p>
    <w:p w:rsidR="00B21BA4" w:rsidRDefault="00B21BA4" w:rsidP="00B21BA4">
      <w:pPr>
        <w:numPr>
          <w:ilvl w:val="0"/>
          <w:numId w:val="3"/>
        </w:numPr>
        <w:shd w:val="clear" w:color="auto" w:fill="FFFFFF"/>
        <w:spacing w:after="0" w:line="330" w:lineRule="atLeast"/>
        <w:ind w:left="0"/>
        <w:rPr>
          <w:rFonts w:ascii="Arial" w:hAnsi="Arial" w:cs="Arial"/>
          <w:color w:val="001D35"/>
        </w:rPr>
      </w:pPr>
      <w:r>
        <w:rPr>
          <w:rStyle w:val="Strong"/>
          <w:rFonts w:ascii="Arial" w:hAnsi="Arial" w:cs="Arial"/>
          <w:color w:val="001D35"/>
        </w:rPr>
        <w:t>E-Government:</w:t>
      </w:r>
    </w:p>
    <w:p w:rsidR="00B21BA4" w:rsidRDefault="00B21BA4" w:rsidP="00B21BA4">
      <w:pPr>
        <w:numPr>
          <w:ilvl w:val="1"/>
          <w:numId w:val="3"/>
        </w:numPr>
        <w:shd w:val="clear" w:color="auto" w:fill="FFFFFF"/>
        <w:spacing w:after="120" w:line="330" w:lineRule="atLeast"/>
        <w:ind w:left="0"/>
        <w:rPr>
          <w:rFonts w:ascii="Arial" w:hAnsi="Arial" w:cs="Arial"/>
          <w:color w:val="545D7E"/>
          <w:spacing w:val="2"/>
        </w:rPr>
      </w:pPr>
      <w:r>
        <w:rPr>
          <w:rStyle w:val="Strong"/>
          <w:rFonts w:ascii="Arial" w:hAnsi="Arial" w:cs="Arial"/>
          <w:color w:val="545D7E"/>
          <w:spacing w:val="2"/>
        </w:rPr>
        <w:t>Digital Services:</w:t>
      </w:r>
      <w:r>
        <w:rPr>
          <w:rFonts w:ascii="Arial" w:hAnsi="Arial" w:cs="Arial"/>
          <w:color w:val="545D7E"/>
          <w:spacing w:val="2"/>
        </w:rPr>
        <w:t> Providing citizens with convenient and efficient access to government services online.</w:t>
      </w:r>
    </w:p>
    <w:p w:rsidR="00B21BA4" w:rsidRDefault="00B21BA4" w:rsidP="00B21BA4">
      <w:pPr>
        <w:numPr>
          <w:ilvl w:val="1"/>
          <w:numId w:val="3"/>
        </w:numPr>
        <w:shd w:val="clear" w:color="auto" w:fill="FFFFFF"/>
        <w:spacing w:after="120" w:line="330" w:lineRule="atLeast"/>
        <w:ind w:left="0"/>
        <w:rPr>
          <w:rFonts w:ascii="Arial" w:hAnsi="Arial" w:cs="Arial"/>
          <w:color w:val="545D7E"/>
          <w:spacing w:val="2"/>
        </w:rPr>
      </w:pPr>
      <w:r>
        <w:rPr>
          <w:rStyle w:val="Strong"/>
          <w:rFonts w:ascii="Arial" w:hAnsi="Arial" w:cs="Arial"/>
          <w:color w:val="545D7E"/>
          <w:spacing w:val="2"/>
        </w:rPr>
        <w:t>Open Data:</w:t>
      </w:r>
      <w:r>
        <w:rPr>
          <w:rFonts w:ascii="Arial" w:hAnsi="Arial" w:cs="Arial"/>
          <w:color w:val="545D7E"/>
          <w:spacing w:val="2"/>
        </w:rPr>
        <w:t> Releasing government data to the public to promote transparency and innovation.</w:t>
      </w:r>
    </w:p>
    <w:p w:rsidR="00B21BA4" w:rsidRDefault="00B21BA4" w:rsidP="00B21BA4">
      <w:pPr>
        <w:numPr>
          <w:ilvl w:val="1"/>
          <w:numId w:val="3"/>
        </w:numPr>
        <w:shd w:val="clear" w:color="auto" w:fill="FFFFFF"/>
        <w:spacing w:after="0" w:line="330" w:lineRule="atLeast"/>
        <w:ind w:left="0"/>
        <w:rPr>
          <w:rStyle w:val="uv3um"/>
        </w:rPr>
      </w:pPr>
      <w:r>
        <w:rPr>
          <w:rStyle w:val="Strong"/>
          <w:rFonts w:ascii="Arial" w:hAnsi="Arial" w:cs="Arial"/>
          <w:color w:val="545D7E"/>
          <w:spacing w:val="2"/>
        </w:rPr>
        <w:t>Citizen Engagement:</w:t>
      </w:r>
      <w:r>
        <w:rPr>
          <w:rFonts w:ascii="Arial" w:hAnsi="Arial" w:cs="Arial"/>
          <w:color w:val="545D7E"/>
          <w:spacing w:val="2"/>
        </w:rPr>
        <w:t> Using digital technologies to enhance citizen participation in policymaking.</w:t>
      </w:r>
      <w:r>
        <w:rPr>
          <w:rStyle w:val="uv3um"/>
          <w:rFonts w:ascii="Arial" w:hAnsi="Arial" w:cs="Arial"/>
          <w:color w:val="545D7E"/>
          <w:spacing w:val="2"/>
        </w:rPr>
        <w:t> </w:t>
      </w:r>
    </w:p>
    <w:p w:rsidR="00B21BA4" w:rsidRDefault="00B21BA4" w:rsidP="00B21BA4">
      <w:pPr>
        <w:shd w:val="clear" w:color="auto" w:fill="FFFFFF"/>
        <w:spacing w:line="390" w:lineRule="atLeast"/>
        <w:rPr>
          <w:rStyle w:val="uv3um"/>
          <w:rFonts w:ascii="Arial" w:hAnsi="Arial" w:cs="Arial"/>
          <w:color w:val="001D35"/>
          <w:sz w:val="27"/>
          <w:szCs w:val="27"/>
        </w:rPr>
      </w:pPr>
      <w:r>
        <w:rPr>
          <w:rFonts w:ascii="Arial" w:hAnsi="Arial" w:cs="Arial"/>
          <w:color w:val="001D35"/>
          <w:sz w:val="27"/>
          <w:szCs w:val="27"/>
        </w:rPr>
        <w:t>III. The Need for Agility and Adaptability</w:t>
      </w:r>
      <w:r>
        <w:rPr>
          <w:rStyle w:val="uv3um"/>
          <w:rFonts w:ascii="Arial" w:hAnsi="Arial" w:cs="Arial"/>
          <w:color w:val="001D35"/>
          <w:sz w:val="27"/>
          <w:szCs w:val="27"/>
        </w:rPr>
        <w:t> </w:t>
      </w:r>
    </w:p>
    <w:p w:rsidR="00B21BA4" w:rsidRDefault="00B21BA4" w:rsidP="00B21BA4">
      <w:pPr>
        <w:numPr>
          <w:ilvl w:val="0"/>
          <w:numId w:val="4"/>
        </w:numPr>
        <w:shd w:val="clear" w:color="auto" w:fill="FFFFFF"/>
        <w:spacing w:after="120" w:line="330" w:lineRule="atLeast"/>
        <w:ind w:left="0"/>
        <w:rPr>
          <w:sz w:val="24"/>
          <w:szCs w:val="24"/>
        </w:rPr>
      </w:pPr>
      <w:r>
        <w:rPr>
          <w:rStyle w:val="Strong"/>
          <w:rFonts w:ascii="Arial" w:hAnsi="Arial" w:cs="Arial"/>
          <w:color w:val="001D35"/>
        </w:rPr>
        <w:t>Dynamic Policy-Making:</w:t>
      </w:r>
    </w:p>
    <w:p w:rsidR="00B21BA4" w:rsidRDefault="00B21BA4" w:rsidP="00B21BA4">
      <w:pPr>
        <w:shd w:val="clear" w:color="auto" w:fill="FFFFFF"/>
        <w:spacing w:after="120" w:line="330" w:lineRule="atLeast"/>
        <w:rPr>
          <w:rFonts w:ascii="Arial" w:hAnsi="Arial" w:cs="Arial"/>
          <w:color w:val="545D7E"/>
          <w:spacing w:val="2"/>
        </w:rPr>
      </w:pPr>
      <w:r>
        <w:rPr>
          <w:rFonts w:ascii="Arial" w:hAnsi="Arial" w:cs="Arial"/>
          <w:color w:val="545D7E"/>
          <w:spacing w:val="2"/>
        </w:rPr>
        <w:t>Recognizing that technology is constantly evolving, policies need to be flexible and adaptable to new challenges and opportunities.</w:t>
      </w:r>
    </w:p>
    <w:p w:rsidR="00B21BA4" w:rsidRDefault="00B21BA4" w:rsidP="00B21BA4">
      <w:pPr>
        <w:numPr>
          <w:ilvl w:val="0"/>
          <w:numId w:val="4"/>
        </w:numPr>
        <w:shd w:val="clear" w:color="auto" w:fill="FFFFFF"/>
        <w:spacing w:after="120" w:line="330" w:lineRule="atLeast"/>
        <w:ind w:left="0"/>
        <w:rPr>
          <w:rFonts w:ascii="Arial" w:hAnsi="Arial" w:cs="Arial"/>
          <w:color w:val="001D35"/>
        </w:rPr>
      </w:pPr>
      <w:r>
        <w:rPr>
          <w:rStyle w:val="Strong"/>
          <w:rFonts w:ascii="Arial" w:hAnsi="Arial" w:cs="Arial"/>
          <w:color w:val="001D35"/>
        </w:rPr>
        <w:lastRenderedPageBreak/>
        <w:t>Regulatory Sandboxes:</w:t>
      </w:r>
    </w:p>
    <w:p w:rsidR="00B21BA4" w:rsidRDefault="00B21BA4" w:rsidP="00B21BA4">
      <w:pPr>
        <w:shd w:val="clear" w:color="auto" w:fill="FFFFFF"/>
        <w:spacing w:after="120" w:line="330" w:lineRule="atLeast"/>
        <w:rPr>
          <w:rFonts w:ascii="Arial" w:hAnsi="Arial" w:cs="Arial"/>
          <w:color w:val="545D7E"/>
          <w:spacing w:val="2"/>
        </w:rPr>
      </w:pPr>
      <w:r>
        <w:rPr>
          <w:rFonts w:ascii="Arial" w:hAnsi="Arial" w:cs="Arial"/>
          <w:color w:val="545D7E"/>
          <w:spacing w:val="2"/>
        </w:rPr>
        <w:t>Using regulatory sandboxes to test new technologies and policies in a controlled environment before widespread implementation.</w:t>
      </w:r>
    </w:p>
    <w:p w:rsidR="00B21BA4" w:rsidRDefault="00B21BA4" w:rsidP="00B21BA4">
      <w:pPr>
        <w:numPr>
          <w:ilvl w:val="0"/>
          <w:numId w:val="4"/>
        </w:numPr>
        <w:shd w:val="clear" w:color="auto" w:fill="FFFFFF"/>
        <w:spacing w:after="0" w:line="330" w:lineRule="atLeast"/>
        <w:ind w:left="0"/>
        <w:rPr>
          <w:rFonts w:ascii="Arial" w:hAnsi="Arial" w:cs="Arial"/>
          <w:color w:val="001D35"/>
        </w:rPr>
      </w:pPr>
      <w:r>
        <w:rPr>
          <w:rStyle w:val="Strong"/>
          <w:rFonts w:ascii="Arial" w:hAnsi="Arial" w:cs="Arial"/>
          <w:color w:val="001D35"/>
        </w:rPr>
        <w:t>International Harmonization:</w:t>
      </w:r>
    </w:p>
    <w:p w:rsidR="00B21BA4" w:rsidRDefault="00B21BA4" w:rsidP="00B21BA4">
      <w:pPr>
        <w:shd w:val="clear" w:color="auto" w:fill="FFFFFF"/>
        <w:spacing w:line="330" w:lineRule="atLeast"/>
        <w:rPr>
          <w:rStyle w:val="uv3um"/>
          <w:color w:val="545D7E"/>
          <w:spacing w:val="2"/>
        </w:rPr>
      </w:pPr>
      <w:r>
        <w:rPr>
          <w:rFonts w:ascii="Arial" w:hAnsi="Arial" w:cs="Arial"/>
          <w:color w:val="545D7E"/>
          <w:spacing w:val="2"/>
        </w:rPr>
        <w:t>Promoting international cooperation on digital policies to ensure interoperability and avoid fragmentation.</w:t>
      </w:r>
      <w:r>
        <w:rPr>
          <w:rStyle w:val="uv3um"/>
          <w:rFonts w:ascii="Arial" w:hAnsi="Arial" w:cs="Arial"/>
          <w:color w:val="545D7E"/>
          <w:spacing w:val="2"/>
        </w:rPr>
        <w:t> </w:t>
      </w:r>
    </w:p>
    <w:p w:rsidR="00B21BA4" w:rsidRDefault="00B21BA4" w:rsidP="00B21BA4">
      <w:pPr>
        <w:shd w:val="clear" w:color="auto" w:fill="FFFFFF"/>
        <w:spacing w:line="390" w:lineRule="atLeast"/>
        <w:rPr>
          <w:rStyle w:val="uv3um"/>
          <w:rFonts w:ascii="Arial" w:hAnsi="Arial" w:cs="Arial"/>
          <w:color w:val="001D35"/>
          <w:sz w:val="27"/>
          <w:szCs w:val="27"/>
        </w:rPr>
      </w:pPr>
      <w:r>
        <w:rPr>
          <w:rFonts w:ascii="Arial" w:hAnsi="Arial" w:cs="Arial"/>
          <w:color w:val="001D35"/>
          <w:sz w:val="27"/>
          <w:szCs w:val="27"/>
        </w:rPr>
        <w:t>IV. Conclusion</w:t>
      </w:r>
    </w:p>
    <w:p w:rsidR="00B21BA4" w:rsidRDefault="00B21BA4" w:rsidP="00B21BA4">
      <w:pPr>
        <w:numPr>
          <w:ilvl w:val="0"/>
          <w:numId w:val="5"/>
        </w:numPr>
        <w:shd w:val="clear" w:color="auto" w:fill="FFFFFF"/>
        <w:spacing w:after="120" w:line="330" w:lineRule="atLeast"/>
        <w:ind w:left="0"/>
        <w:rPr>
          <w:sz w:val="24"/>
          <w:szCs w:val="24"/>
        </w:rPr>
      </w:pPr>
      <w:r>
        <w:rPr>
          <w:rStyle w:val="Strong"/>
          <w:rFonts w:ascii="Arial" w:hAnsi="Arial" w:cs="Arial"/>
          <w:color w:val="001D35"/>
        </w:rPr>
        <w:t>Call to Action:</w:t>
      </w:r>
    </w:p>
    <w:p w:rsidR="00B21BA4" w:rsidRDefault="00B21BA4" w:rsidP="00B21BA4">
      <w:pPr>
        <w:shd w:val="clear" w:color="auto" w:fill="FFFFFF"/>
        <w:spacing w:after="120" w:line="330" w:lineRule="atLeast"/>
        <w:rPr>
          <w:rFonts w:ascii="Arial" w:hAnsi="Arial" w:cs="Arial"/>
          <w:color w:val="545D7E"/>
          <w:spacing w:val="2"/>
        </w:rPr>
      </w:pPr>
      <w:r>
        <w:rPr>
          <w:rFonts w:ascii="Arial" w:hAnsi="Arial" w:cs="Arial"/>
          <w:color w:val="545D7E"/>
          <w:spacing w:val="2"/>
        </w:rPr>
        <w:t>Encouraging governments, businesses, and individuals to work together to create a supportive policy and regulatory environment for digital transformation.</w:t>
      </w:r>
    </w:p>
    <w:p w:rsidR="00B21BA4" w:rsidRDefault="00B21BA4" w:rsidP="00B21BA4">
      <w:pPr>
        <w:numPr>
          <w:ilvl w:val="0"/>
          <w:numId w:val="5"/>
        </w:numPr>
        <w:shd w:val="clear" w:color="auto" w:fill="FFFFFF"/>
        <w:spacing w:after="0" w:line="330" w:lineRule="atLeast"/>
        <w:ind w:left="0"/>
        <w:rPr>
          <w:rFonts w:ascii="Arial" w:hAnsi="Arial" w:cs="Arial"/>
          <w:color w:val="001D35"/>
        </w:rPr>
      </w:pPr>
      <w:r>
        <w:rPr>
          <w:rStyle w:val="Strong"/>
          <w:rFonts w:ascii="Arial" w:hAnsi="Arial" w:cs="Arial"/>
          <w:color w:val="001D35"/>
        </w:rPr>
        <w:t>Shared Responsibility:</w:t>
      </w:r>
    </w:p>
    <w:p w:rsidR="00B21BA4" w:rsidRDefault="00B21BA4" w:rsidP="00B21BA4">
      <w:pPr>
        <w:shd w:val="clear" w:color="auto" w:fill="FFFFFF"/>
        <w:spacing w:line="330" w:lineRule="atLeast"/>
        <w:rPr>
          <w:rStyle w:val="uv3um"/>
          <w:color w:val="545D7E"/>
          <w:spacing w:val="2"/>
        </w:rPr>
      </w:pPr>
      <w:r>
        <w:rPr>
          <w:rFonts w:ascii="Arial" w:hAnsi="Arial" w:cs="Arial"/>
          <w:color w:val="545D7E"/>
          <w:spacing w:val="2"/>
        </w:rPr>
        <w:t>Emphasizing that digital transformation is a shared responsibility, requiring collaboration and a commitment to building a more inclusive and prosperous digital future.</w:t>
      </w:r>
      <w:r>
        <w:rPr>
          <w:rStyle w:val="uv3um"/>
          <w:rFonts w:ascii="Arial" w:hAnsi="Arial" w:cs="Arial"/>
          <w:color w:val="545D7E"/>
          <w:spacing w:val="2"/>
        </w:rPr>
        <w:t> </w:t>
      </w:r>
    </w:p>
    <w:p w:rsidR="00B21BA4" w:rsidRDefault="00B21BA4" w:rsidP="002F5A4D">
      <w:pPr>
        <w:shd w:val="clear" w:color="auto" w:fill="FFFFFF"/>
        <w:spacing w:line="240" w:lineRule="auto"/>
        <w:jc w:val="both"/>
        <w:rPr>
          <w:color w:val="001D35"/>
          <w:sz w:val="27"/>
          <w:szCs w:val="27"/>
        </w:rPr>
      </w:pPr>
      <w:r>
        <w:rPr>
          <w:rFonts w:ascii="Arial" w:hAnsi="Arial" w:cs="Arial"/>
          <w:color w:val="001D35"/>
          <w:sz w:val="27"/>
          <w:szCs w:val="27"/>
        </w:rPr>
        <w:t>By addressing these key areas, the keynote address can provide a comprehensive overview of the policy and regulatory considerations necessary to unlock the full potential of digital transformation.</w:t>
      </w:r>
    </w:p>
    <w:p w:rsidR="007C2833" w:rsidRDefault="007C2833"/>
    <w:p w:rsidR="00B611BF" w:rsidRDefault="00B611BF">
      <w:r>
        <w:t>Digital Transformation in Telecom sector</w:t>
      </w:r>
    </w:p>
    <w:p w:rsidR="00B611BF" w:rsidRPr="00B611BF" w:rsidRDefault="00B611BF" w:rsidP="00B611BF">
      <w:pPr>
        <w:spacing w:before="100" w:beforeAutospacing="1" w:after="100" w:afterAutospacing="1" w:line="240" w:lineRule="auto"/>
        <w:outlineLvl w:val="0"/>
        <w:rPr>
          <w:rFonts w:ascii="Arial" w:eastAsia="Times New Roman" w:hAnsi="Arial" w:cs="Arial"/>
          <w:b/>
          <w:bCs/>
          <w:color w:val="0E3042"/>
          <w:kern w:val="36"/>
          <w:sz w:val="24"/>
          <w:szCs w:val="24"/>
          <w:lang w:val="en-GB" w:eastAsia="en-GB" w:bidi="hi-IN"/>
          <w14:ligatures w14:val="none"/>
        </w:rPr>
      </w:pPr>
      <w:r w:rsidRPr="00B611BF">
        <w:rPr>
          <w:rFonts w:ascii="Arial" w:eastAsia="Times New Roman" w:hAnsi="Arial" w:cs="Arial"/>
          <w:b/>
          <w:bCs/>
          <w:color w:val="0E3042"/>
          <w:kern w:val="36"/>
          <w:sz w:val="24"/>
          <w:szCs w:val="24"/>
          <w:lang w:val="en-GB" w:eastAsia="en-GB" w:bidi="hi-IN"/>
          <w14:ligatures w14:val="none"/>
        </w:rPr>
        <w:t>Telco Digital Transformation</w:t>
      </w:r>
    </w:p>
    <w:p w:rsidR="00B611BF" w:rsidRPr="00B611BF" w:rsidRDefault="00B611BF" w:rsidP="00B611BF">
      <w:pPr>
        <w:spacing w:before="100" w:beforeAutospacing="1" w:after="100" w:afterAutospacing="1" w:line="240" w:lineRule="auto"/>
        <w:rPr>
          <w:rFonts w:ascii="Arial" w:eastAsia="Times New Roman" w:hAnsi="Arial" w:cs="Arial"/>
          <w:color w:val="0E3042"/>
          <w:kern w:val="0"/>
          <w:sz w:val="24"/>
          <w:szCs w:val="24"/>
          <w:lang w:val="en-GB" w:eastAsia="en-GB" w:bidi="hi-IN"/>
          <w14:ligatures w14:val="none"/>
        </w:rPr>
      </w:pPr>
      <w:r w:rsidRPr="00B611BF">
        <w:rPr>
          <w:rFonts w:ascii="Arial" w:eastAsia="Times New Roman" w:hAnsi="Arial" w:cs="Arial"/>
          <w:color w:val="0E3042"/>
          <w:kern w:val="0"/>
          <w:sz w:val="24"/>
          <w:szCs w:val="24"/>
          <w:lang w:val="en-GB" w:eastAsia="en-GB" w:bidi="hi-IN"/>
          <w14:ligatures w14:val="none"/>
        </w:rPr>
        <w:t>Digital transformation is affecting every industry, and the Telco sector is no exception. Digital transformation describes an all-encompassing shift from legacy methods to leading-edge technologies through operational approach, data management, service delivery, and client engagement.</w:t>
      </w:r>
    </w:p>
    <w:p w:rsidR="00B611BF" w:rsidRPr="00B611BF" w:rsidRDefault="00B611BF" w:rsidP="00B611BF">
      <w:pPr>
        <w:spacing w:before="100" w:beforeAutospacing="1" w:after="100" w:afterAutospacing="1" w:line="240" w:lineRule="auto"/>
        <w:rPr>
          <w:rFonts w:ascii="Arial" w:eastAsia="Times New Roman" w:hAnsi="Arial" w:cs="Arial"/>
          <w:color w:val="0E3042"/>
          <w:kern w:val="0"/>
          <w:sz w:val="24"/>
          <w:szCs w:val="24"/>
          <w:lang w:val="en-GB" w:eastAsia="en-GB" w:bidi="hi-IN"/>
          <w14:ligatures w14:val="none"/>
        </w:rPr>
      </w:pPr>
      <w:r w:rsidRPr="00B611BF">
        <w:rPr>
          <w:rFonts w:ascii="Arial" w:eastAsia="Times New Roman" w:hAnsi="Arial" w:cs="Arial"/>
          <w:color w:val="0E3042"/>
          <w:kern w:val="0"/>
          <w:sz w:val="24"/>
          <w:szCs w:val="24"/>
          <w:lang w:val="en-GB" w:eastAsia="en-GB" w:bidi="hi-IN"/>
          <w14:ligatures w14:val="none"/>
        </w:rPr>
        <w:t>But what does digital transformation mean for tower companies, sometimes referred to as telcos? And what steps is this industry taking to stay competitive in the digital age?</w:t>
      </w:r>
    </w:p>
    <w:p w:rsidR="00B611BF" w:rsidRPr="00B611BF" w:rsidRDefault="00B611BF" w:rsidP="00B611BF">
      <w:pPr>
        <w:spacing w:before="100" w:beforeAutospacing="1" w:after="100" w:afterAutospacing="1" w:line="240" w:lineRule="auto"/>
        <w:rPr>
          <w:rFonts w:ascii="Arial" w:eastAsia="Times New Roman" w:hAnsi="Arial" w:cs="Arial"/>
          <w:color w:val="0E3042"/>
          <w:kern w:val="0"/>
          <w:sz w:val="24"/>
          <w:szCs w:val="24"/>
          <w:lang w:val="en-GB" w:eastAsia="en-GB" w:bidi="hi-IN"/>
          <w14:ligatures w14:val="none"/>
        </w:rPr>
      </w:pPr>
      <w:r w:rsidRPr="00B611BF">
        <w:rPr>
          <w:rFonts w:ascii="Arial" w:eastAsia="Times New Roman" w:hAnsi="Arial" w:cs="Arial"/>
          <w:color w:val="0E3042"/>
          <w:kern w:val="0"/>
          <w:sz w:val="24"/>
          <w:szCs w:val="24"/>
          <w:lang w:val="en-GB" w:eastAsia="en-GB" w:bidi="hi-IN"/>
          <w14:ligatures w14:val="none"/>
        </w:rPr>
        <w:t>Keep reading to learn more about the key aspects, technologies, and practices transforming telcos — and the benefits they provide.</w:t>
      </w:r>
    </w:p>
    <w:p w:rsidR="00B611BF" w:rsidRPr="00B611BF" w:rsidRDefault="00B611BF" w:rsidP="00B611BF">
      <w:pPr>
        <w:spacing w:before="100" w:beforeAutospacing="1" w:after="100" w:afterAutospacing="1" w:line="240" w:lineRule="auto"/>
        <w:outlineLvl w:val="2"/>
        <w:rPr>
          <w:rFonts w:ascii="Arial" w:eastAsia="Times New Roman" w:hAnsi="Arial" w:cs="Arial"/>
          <w:b/>
          <w:bCs/>
          <w:color w:val="0E3042"/>
          <w:spacing w:val="16"/>
          <w:kern w:val="0"/>
          <w:sz w:val="24"/>
          <w:szCs w:val="24"/>
          <w:lang w:val="en-GB" w:eastAsia="en-GB" w:bidi="hi-IN"/>
          <w14:ligatures w14:val="none"/>
        </w:rPr>
      </w:pPr>
      <w:r w:rsidRPr="00B611BF">
        <w:rPr>
          <w:rFonts w:ascii="Arial" w:eastAsia="Times New Roman" w:hAnsi="Arial" w:cs="Arial"/>
          <w:b/>
          <w:bCs/>
          <w:color w:val="00CCFF"/>
          <w:spacing w:val="16"/>
          <w:kern w:val="0"/>
          <w:sz w:val="24"/>
          <w:szCs w:val="24"/>
          <w:lang w:val="en-GB" w:eastAsia="en-GB" w:bidi="hi-IN"/>
          <w14:ligatures w14:val="none"/>
        </w:rPr>
        <w:t>What Does Digital Transformation Mean for a Telco?</w:t>
      </w:r>
    </w:p>
    <w:p w:rsidR="00B611BF" w:rsidRDefault="008819CF">
      <w:pPr>
        <w:rPr>
          <w:b/>
          <w:bCs/>
        </w:rPr>
      </w:pPr>
      <w:hyperlink r:id="rId19" w:history="1">
        <w:r w:rsidRPr="00C91F02">
          <w:rPr>
            <w:rStyle w:val="Hyperlink"/>
          </w:rPr>
          <w:t>https://www.vhive.ai/glossary/telco-digital-transformation/</w:t>
        </w:r>
      </w:hyperlink>
    </w:p>
    <w:p w:rsidR="008819CF" w:rsidRPr="008819CF" w:rsidRDefault="008819CF">
      <w:pPr>
        <w:rPr>
          <w:b/>
          <w:bCs/>
        </w:rPr>
      </w:pPr>
      <w:bookmarkStart w:id="0" w:name="_GoBack"/>
      <w:bookmarkEnd w:id="0"/>
    </w:p>
    <w:sectPr w:rsidR="008819CF" w:rsidRPr="008819C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20CF" w:rsidRDefault="00E720CF" w:rsidP="00333565">
      <w:pPr>
        <w:spacing w:after="0" w:line="240" w:lineRule="auto"/>
      </w:pPr>
      <w:r>
        <w:separator/>
      </w:r>
    </w:p>
  </w:endnote>
  <w:endnote w:type="continuationSeparator" w:id="0">
    <w:p w:rsidR="00E720CF" w:rsidRDefault="00E720CF" w:rsidP="00333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20CF" w:rsidRDefault="00E720CF" w:rsidP="00333565">
      <w:pPr>
        <w:spacing w:after="0" w:line="240" w:lineRule="auto"/>
      </w:pPr>
      <w:r>
        <w:separator/>
      </w:r>
    </w:p>
  </w:footnote>
  <w:footnote w:type="continuationSeparator" w:id="0">
    <w:p w:rsidR="00E720CF" w:rsidRDefault="00E720CF" w:rsidP="00333565">
      <w:pPr>
        <w:spacing w:after="0" w:line="240" w:lineRule="auto"/>
      </w:pPr>
      <w:r>
        <w:continuationSeparator/>
      </w:r>
    </w:p>
  </w:footnote>
  <w:footnote w:id="1">
    <w:p w:rsidR="00333565" w:rsidRDefault="00333565" w:rsidP="00333565">
      <w:pPr>
        <w:pStyle w:val="FootnoteText"/>
      </w:pPr>
      <w:r>
        <w:rPr>
          <w:rStyle w:val="FootnoteReference"/>
        </w:rPr>
        <w:footnoteRef/>
      </w:r>
      <w:r>
        <w:t xml:space="preserve"> </w:t>
      </w:r>
      <w:hyperlink r:id="rId1" w:history="1">
        <w:r w:rsidRPr="002367D5">
          <w:rPr>
            <w:rStyle w:val="Hyperlink"/>
          </w:rPr>
          <w:t>https://www.pib.gov.in/PressReleasePage.aspx?PRID=2102796</w:t>
        </w:r>
      </w:hyperlink>
    </w:p>
    <w:p w:rsidR="00333565" w:rsidRPr="00F72CF6" w:rsidRDefault="00333565" w:rsidP="00333565">
      <w:pPr>
        <w:pStyle w:val="FootnoteText"/>
        <w:rPr>
          <w:lang w:val="en-GB"/>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705A5C"/>
    <w:multiLevelType w:val="multilevel"/>
    <w:tmpl w:val="949EF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67214"/>
    <w:multiLevelType w:val="multilevel"/>
    <w:tmpl w:val="85D8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05CA2"/>
    <w:multiLevelType w:val="hybridMultilevel"/>
    <w:tmpl w:val="E9F63BDA"/>
    <w:lvl w:ilvl="0" w:tplc="40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CA84552"/>
    <w:multiLevelType w:val="multilevel"/>
    <w:tmpl w:val="3260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442CCB"/>
    <w:multiLevelType w:val="multilevel"/>
    <w:tmpl w:val="6576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0"/>
    <w:lvlOverride w:ilvl="1">
      <w:lvl w:ilvl="1">
        <w:numFmt w:val="bullet"/>
        <w:lvlText w:val=""/>
        <w:lvlJc w:val="left"/>
        <w:pPr>
          <w:tabs>
            <w:tab w:val="num" w:pos="1440"/>
          </w:tabs>
          <w:ind w:left="1440" w:hanging="360"/>
        </w:pPr>
        <w:rPr>
          <w:rFonts w:ascii="Symbol" w:hAnsi="Symbol" w:hint="default"/>
          <w:sz w:val="20"/>
        </w:rPr>
      </w:lvl>
    </w:lvlOverride>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565"/>
    <w:rsid w:val="002F5A4D"/>
    <w:rsid w:val="002F633D"/>
    <w:rsid w:val="00333565"/>
    <w:rsid w:val="0035666A"/>
    <w:rsid w:val="004C1453"/>
    <w:rsid w:val="00515E26"/>
    <w:rsid w:val="007C2833"/>
    <w:rsid w:val="008819CF"/>
    <w:rsid w:val="00A50A28"/>
    <w:rsid w:val="00B21BA4"/>
    <w:rsid w:val="00B611BF"/>
    <w:rsid w:val="00BC7838"/>
    <w:rsid w:val="00DE621E"/>
    <w:rsid w:val="00E35C21"/>
    <w:rsid w:val="00E720C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07367"/>
  <w15:chartTrackingRefBased/>
  <w15:docId w15:val="{B860A3AA-A8EE-41C9-A504-566F827C4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3565"/>
  </w:style>
  <w:style w:type="paragraph" w:styleId="Heading1">
    <w:name w:val="heading 1"/>
    <w:basedOn w:val="Normal"/>
    <w:link w:val="Heading1Char"/>
    <w:uiPriority w:val="9"/>
    <w:qFormat/>
    <w:rsid w:val="00B611B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bidi="hi-IN"/>
      <w14:ligatures w14:val="none"/>
    </w:rPr>
  </w:style>
  <w:style w:type="paragraph" w:styleId="Heading3">
    <w:name w:val="heading 3"/>
    <w:basedOn w:val="Normal"/>
    <w:link w:val="Heading3Char"/>
    <w:uiPriority w:val="9"/>
    <w:qFormat/>
    <w:rsid w:val="00B611BF"/>
    <w:pPr>
      <w:spacing w:before="100" w:beforeAutospacing="1" w:after="100" w:afterAutospacing="1" w:line="240" w:lineRule="auto"/>
      <w:outlineLvl w:val="2"/>
    </w:pPr>
    <w:rPr>
      <w:rFonts w:ascii="Times New Roman" w:eastAsia="Times New Roman" w:hAnsi="Times New Roman" w:cs="Times New Roman"/>
      <w:b/>
      <w:bCs/>
      <w:kern w:val="0"/>
      <w:sz w:val="27"/>
      <w:szCs w:val="27"/>
      <w:lang w:val="en-GB" w:eastAsia="en-GB"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333565"/>
    <w:pPr>
      <w:spacing w:after="0" w:line="240" w:lineRule="auto"/>
    </w:pPr>
    <w:rPr>
      <w:kern w:val="0"/>
      <w:sz w:val="20"/>
      <w:szCs w:val="20"/>
      <w:lang w:val="en-US"/>
      <w14:ligatures w14:val="none"/>
    </w:rPr>
  </w:style>
  <w:style w:type="character" w:customStyle="1" w:styleId="FootnoteTextChar">
    <w:name w:val="Footnote Text Char"/>
    <w:basedOn w:val="DefaultParagraphFont"/>
    <w:link w:val="FootnoteText"/>
    <w:uiPriority w:val="99"/>
    <w:semiHidden/>
    <w:rsid w:val="00333565"/>
    <w:rPr>
      <w:kern w:val="0"/>
      <w:sz w:val="20"/>
      <w:szCs w:val="20"/>
      <w:lang w:val="en-US"/>
      <w14:ligatures w14:val="none"/>
    </w:rPr>
  </w:style>
  <w:style w:type="character" w:styleId="FootnoteReference">
    <w:name w:val="footnote reference"/>
    <w:basedOn w:val="DefaultParagraphFont"/>
    <w:uiPriority w:val="99"/>
    <w:semiHidden/>
    <w:unhideWhenUsed/>
    <w:rsid w:val="00333565"/>
    <w:rPr>
      <w:vertAlign w:val="superscript"/>
    </w:rPr>
  </w:style>
  <w:style w:type="character" w:styleId="Hyperlink">
    <w:name w:val="Hyperlink"/>
    <w:basedOn w:val="DefaultParagraphFont"/>
    <w:uiPriority w:val="99"/>
    <w:unhideWhenUsed/>
    <w:rsid w:val="00333565"/>
    <w:rPr>
      <w:color w:val="0563C1" w:themeColor="hyperlink"/>
      <w:u w:val="single"/>
    </w:rPr>
  </w:style>
  <w:style w:type="paragraph" w:styleId="NormalWeb">
    <w:name w:val="Normal (Web)"/>
    <w:basedOn w:val="Normal"/>
    <w:uiPriority w:val="99"/>
    <w:unhideWhenUsed/>
    <w:rsid w:val="00A50A28"/>
    <w:pPr>
      <w:spacing w:before="100" w:beforeAutospacing="1" w:after="100" w:afterAutospacing="1" w:line="240" w:lineRule="auto"/>
    </w:pPr>
    <w:rPr>
      <w:rFonts w:ascii="Times New Roman" w:eastAsia="Times New Roman" w:hAnsi="Times New Roman" w:cs="Times New Roman"/>
      <w:kern w:val="0"/>
      <w:sz w:val="24"/>
      <w:szCs w:val="24"/>
      <w:lang w:val="en-GB" w:eastAsia="en-GB" w:bidi="hi-IN"/>
      <w14:ligatures w14:val="none"/>
    </w:rPr>
  </w:style>
  <w:style w:type="character" w:customStyle="1" w:styleId="uv3um">
    <w:name w:val="uv3um"/>
    <w:basedOn w:val="DefaultParagraphFont"/>
    <w:rsid w:val="00B21BA4"/>
  </w:style>
  <w:style w:type="character" w:styleId="Strong">
    <w:name w:val="Strong"/>
    <w:basedOn w:val="DefaultParagraphFont"/>
    <w:uiPriority w:val="22"/>
    <w:qFormat/>
    <w:rsid w:val="00B21BA4"/>
    <w:rPr>
      <w:b/>
      <w:bCs/>
    </w:rPr>
  </w:style>
  <w:style w:type="character" w:customStyle="1" w:styleId="m5tqyf">
    <w:name w:val="m5tqyf"/>
    <w:basedOn w:val="DefaultParagraphFont"/>
    <w:rsid w:val="00B21BA4"/>
  </w:style>
  <w:style w:type="paragraph" w:styleId="ListParagraph">
    <w:name w:val="List Paragraph"/>
    <w:basedOn w:val="Normal"/>
    <w:uiPriority w:val="34"/>
    <w:qFormat/>
    <w:rsid w:val="00BC7838"/>
    <w:pPr>
      <w:ind w:left="720"/>
      <w:contextualSpacing/>
    </w:pPr>
  </w:style>
  <w:style w:type="character" w:customStyle="1" w:styleId="Heading1Char">
    <w:name w:val="Heading 1 Char"/>
    <w:basedOn w:val="DefaultParagraphFont"/>
    <w:link w:val="Heading1"/>
    <w:uiPriority w:val="9"/>
    <w:rsid w:val="00B611BF"/>
    <w:rPr>
      <w:rFonts w:ascii="Times New Roman" w:eastAsia="Times New Roman" w:hAnsi="Times New Roman" w:cs="Times New Roman"/>
      <w:b/>
      <w:bCs/>
      <w:kern w:val="36"/>
      <w:sz w:val="48"/>
      <w:szCs w:val="48"/>
      <w:lang w:val="en-GB" w:eastAsia="en-GB" w:bidi="hi-IN"/>
      <w14:ligatures w14:val="none"/>
    </w:rPr>
  </w:style>
  <w:style w:type="character" w:customStyle="1" w:styleId="Heading3Char">
    <w:name w:val="Heading 3 Char"/>
    <w:basedOn w:val="DefaultParagraphFont"/>
    <w:link w:val="Heading3"/>
    <w:uiPriority w:val="9"/>
    <w:rsid w:val="00B611BF"/>
    <w:rPr>
      <w:rFonts w:ascii="Times New Roman" w:eastAsia="Times New Roman" w:hAnsi="Times New Roman" w:cs="Times New Roman"/>
      <w:b/>
      <w:bCs/>
      <w:kern w:val="0"/>
      <w:sz w:val="27"/>
      <w:szCs w:val="27"/>
      <w:lang w:val="en-GB"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306935">
      <w:bodyDiv w:val="1"/>
      <w:marLeft w:val="0"/>
      <w:marRight w:val="0"/>
      <w:marTop w:val="0"/>
      <w:marBottom w:val="0"/>
      <w:divBdr>
        <w:top w:val="none" w:sz="0" w:space="0" w:color="auto"/>
        <w:left w:val="none" w:sz="0" w:space="0" w:color="auto"/>
        <w:bottom w:val="none" w:sz="0" w:space="0" w:color="auto"/>
        <w:right w:val="none" w:sz="0" w:space="0" w:color="auto"/>
      </w:divBdr>
      <w:divsChild>
        <w:div w:id="579750761">
          <w:marLeft w:val="0"/>
          <w:marRight w:val="0"/>
          <w:marTop w:val="0"/>
          <w:marBottom w:val="0"/>
          <w:divBdr>
            <w:top w:val="none" w:sz="0" w:space="0" w:color="auto"/>
            <w:left w:val="none" w:sz="0" w:space="0" w:color="auto"/>
            <w:bottom w:val="none" w:sz="0" w:space="0" w:color="auto"/>
            <w:right w:val="none" w:sz="0" w:space="0" w:color="auto"/>
          </w:divBdr>
          <w:divsChild>
            <w:div w:id="653488030">
              <w:marLeft w:val="0"/>
              <w:marRight w:val="0"/>
              <w:marTop w:val="0"/>
              <w:marBottom w:val="0"/>
              <w:divBdr>
                <w:top w:val="none" w:sz="0" w:space="0" w:color="auto"/>
                <w:left w:val="none" w:sz="0" w:space="0" w:color="auto"/>
                <w:bottom w:val="none" w:sz="0" w:space="0" w:color="auto"/>
                <w:right w:val="none" w:sz="0" w:space="0" w:color="auto"/>
              </w:divBdr>
              <w:divsChild>
                <w:div w:id="4299373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65323361">
          <w:marLeft w:val="0"/>
          <w:marRight w:val="0"/>
          <w:marTop w:val="0"/>
          <w:marBottom w:val="0"/>
          <w:divBdr>
            <w:top w:val="none" w:sz="0" w:space="0" w:color="auto"/>
            <w:left w:val="none" w:sz="0" w:space="0" w:color="auto"/>
            <w:bottom w:val="none" w:sz="0" w:space="0" w:color="auto"/>
            <w:right w:val="none" w:sz="0" w:space="0" w:color="auto"/>
          </w:divBdr>
          <w:divsChild>
            <w:div w:id="884752216">
              <w:marLeft w:val="0"/>
              <w:marRight w:val="0"/>
              <w:marTop w:val="0"/>
              <w:marBottom w:val="0"/>
              <w:divBdr>
                <w:top w:val="none" w:sz="0" w:space="0" w:color="auto"/>
                <w:left w:val="none" w:sz="0" w:space="0" w:color="auto"/>
                <w:bottom w:val="none" w:sz="0" w:space="0" w:color="auto"/>
                <w:right w:val="none" w:sz="0" w:space="0" w:color="auto"/>
              </w:divBdr>
              <w:divsChild>
                <w:div w:id="20356711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246718876">
          <w:marLeft w:val="0"/>
          <w:marRight w:val="0"/>
          <w:marTop w:val="0"/>
          <w:marBottom w:val="0"/>
          <w:divBdr>
            <w:top w:val="none" w:sz="0" w:space="0" w:color="auto"/>
            <w:left w:val="none" w:sz="0" w:space="0" w:color="auto"/>
            <w:bottom w:val="none" w:sz="0" w:space="0" w:color="auto"/>
            <w:right w:val="none" w:sz="0" w:space="0" w:color="auto"/>
          </w:divBdr>
          <w:divsChild>
            <w:div w:id="1167596031">
              <w:marLeft w:val="0"/>
              <w:marRight w:val="0"/>
              <w:marTop w:val="0"/>
              <w:marBottom w:val="0"/>
              <w:divBdr>
                <w:top w:val="none" w:sz="0" w:space="0" w:color="auto"/>
                <w:left w:val="none" w:sz="0" w:space="0" w:color="auto"/>
                <w:bottom w:val="none" w:sz="0" w:space="0" w:color="auto"/>
                <w:right w:val="none" w:sz="0" w:space="0" w:color="auto"/>
              </w:divBdr>
              <w:divsChild>
                <w:div w:id="77471620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53459603">
          <w:marLeft w:val="0"/>
          <w:marRight w:val="0"/>
          <w:marTop w:val="0"/>
          <w:marBottom w:val="0"/>
          <w:divBdr>
            <w:top w:val="none" w:sz="0" w:space="0" w:color="auto"/>
            <w:left w:val="none" w:sz="0" w:space="0" w:color="auto"/>
            <w:bottom w:val="none" w:sz="0" w:space="0" w:color="auto"/>
            <w:right w:val="none" w:sz="0" w:space="0" w:color="auto"/>
          </w:divBdr>
          <w:divsChild>
            <w:div w:id="893735394">
              <w:marLeft w:val="0"/>
              <w:marRight w:val="0"/>
              <w:marTop w:val="0"/>
              <w:marBottom w:val="0"/>
              <w:divBdr>
                <w:top w:val="none" w:sz="0" w:space="0" w:color="auto"/>
                <w:left w:val="none" w:sz="0" w:space="0" w:color="auto"/>
                <w:bottom w:val="none" w:sz="0" w:space="0" w:color="auto"/>
                <w:right w:val="none" w:sz="0" w:space="0" w:color="auto"/>
              </w:divBdr>
              <w:divsChild>
                <w:div w:id="952788410">
                  <w:marLeft w:val="0"/>
                  <w:marRight w:val="0"/>
                  <w:marTop w:val="0"/>
                  <w:marBottom w:val="0"/>
                  <w:divBdr>
                    <w:top w:val="none" w:sz="0" w:space="0" w:color="auto"/>
                    <w:left w:val="none" w:sz="0" w:space="0" w:color="auto"/>
                    <w:bottom w:val="none" w:sz="0" w:space="0" w:color="auto"/>
                    <w:right w:val="none" w:sz="0" w:space="0" w:color="auto"/>
                  </w:divBdr>
                  <w:divsChild>
                    <w:div w:id="240994234">
                      <w:marLeft w:val="0"/>
                      <w:marRight w:val="0"/>
                      <w:marTop w:val="0"/>
                      <w:marBottom w:val="0"/>
                      <w:divBdr>
                        <w:top w:val="none" w:sz="0" w:space="0" w:color="auto"/>
                        <w:left w:val="none" w:sz="0" w:space="0" w:color="auto"/>
                        <w:bottom w:val="none" w:sz="0" w:space="0" w:color="auto"/>
                        <w:right w:val="none" w:sz="0" w:space="0" w:color="auto"/>
                      </w:divBdr>
                      <w:divsChild>
                        <w:div w:id="1138063559">
                          <w:marLeft w:val="0"/>
                          <w:marRight w:val="0"/>
                          <w:marTop w:val="0"/>
                          <w:marBottom w:val="0"/>
                          <w:divBdr>
                            <w:top w:val="none" w:sz="0" w:space="0" w:color="auto"/>
                            <w:left w:val="none" w:sz="0" w:space="0" w:color="auto"/>
                            <w:bottom w:val="none" w:sz="0" w:space="0" w:color="auto"/>
                            <w:right w:val="none" w:sz="0" w:space="0" w:color="auto"/>
                          </w:divBdr>
                          <w:divsChild>
                            <w:div w:id="343166218">
                              <w:marLeft w:val="0"/>
                              <w:marRight w:val="0"/>
                              <w:marTop w:val="0"/>
                              <w:marBottom w:val="0"/>
                              <w:divBdr>
                                <w:top w:val="none" w:sz="0" w:space="0" w:color="auto"/>
                                <w:left w:val="none" w:sz="0" w:space="0" w:color="auto"/>
                                <w:bottom w:val="none" w:sz="0" w:space="0" w:color="auto"/>
                                <w:right w:val="none" w:sz="0" w:space="0" w:color="auto"/>
                              </w:divBdr>
                            </w:div>
                            <w:div w:id="27213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87464">
                  <w:marLeft w:val="0"/>
                  <w:marRight w:val="0"/>
                  <w:marTop w:val="0"/>
                  <w:marBottom w:val="0"/>
                  <w:divBdr>
                    <w:top w:val="none" w:sz="0" w:space="0" w:color="auto"/>
                    <w:left w:val="none" w:sz="0" w:space="0" w:color="auto"/>
                    <w:bottom w:val="none" w:sz="0" w:space="0" w:color="auto"/>
                    <w:right w:val="none" w:sz="0" w:space="0" w:color="auto"/>
                  </w:divBdr>
                  <w:divsChild>
                    <w:div w:id="1499805063">
                      <w:marLeft w:val="0"/>
                      <w:marRight w:val="0"/>
                      <w:marTop w:val="0"/>
                      <w:marBottom w:val="0"/>
                      <w:divBdr>
                        <w:top w:val="none" w:sz="0" w:space="0" w:color="auto"/>
                        <w:left w:val="none" w:sz="0" w:space="0" w:color="auto"/>
                        <w:bottom w:val="none" w:sz="0" w:space="0" w:color="auto"/>
                        <w:right w:val="none" w:sz="0" w:space="0" w:color="auto"/>
                      </w:divBdr>
                      <w:divsChild>
                        <w:div w:id="687220791">
                          <w:marLeft w:val="0"/>
                          <w:marRight w:val="0"/>
                          <w:marTop w:val="0"/>
                          <w:marBottom w:val="0"/>
                          <w:divBdr>
                            <w:top w:val="none" w:sz="0" w:space="0" w:color="auto"/>
                            <w:left w:val="none" w:sz="0" w:space="0" w:color="auto"/>
                            <w:bottom w:val="none" w:sz="0" w:space="0" w:color="auto"/>
                            <w:right w:val="none" w:sz="0" w:space="0" w:color="auto"/>
                          </w:divBdr>
                          <w:divsChild>
                            <w:div w:id="792753804">
                              <w:marLeft w:val="0"/>
                              <w:marRight w:val="0"/>
                              <w:marTop w:val="0"/>
                              <w:marBottom w:val="0"/>
                              <w:divBdr>
                                <w:top w:val="none" w:sz="0" w:space="0" w:color="auto"/>
                                <w:left w:val="none" w:sz="0" w:space="0" w:color="auto"/>
                                <w:bottom w:val="none" w:sz="0" w:space="0" w:color="auto"/>
                                <w:right w:val="none" w:sz="0" w:space="0" w:color="auto"/>
                              </w:divBdr>
                            </w:div>
                            <w:div w:id="47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44930">
                  <w:marLeft w:val="0"/>
                  <w:marRight w:val="0"/>
                  <w:marTop w:val="0"/>
                  <w:marBottom w:val="0"/>
                  <w:divBdr>
                    <w:top w:val="none" w:sz="0" w:space="0" w:color="auto"/>
                    <w:left w:val="none" w:sz="0" w:space="0" w:color="auto"/>
                    <w:bottom w:val="none" w:sz="0" w:space="0" w:color="auto"/>
                    <w:right w:val="none" w:sz="0" w:space="0" w:color="auto"/>
                  </w:divBdr>
                  <w:divsChild>
                    <w:div w:id="254560401">
                      <w:marLeft w:val="0"/>
                      <w:marRight w:val="0"/>
                      <w:marTop w:val="0"/>
                      <w:marBottom w:val="0"/>
                      <w:divBdr>
                        <w:top w:val="none" w:sz="0" w:space="0" w:color="auto"/>
                        <w:left w:val="none" w:sz="0" w:space="0" w:color="auto"/>
                        <w:bottom w:val="none" w:sz="0" w:space="0" w:color="auto"/>
                        <w:right w:val="none" w:sz="0" w:space="0" w:color="auto"/>
                      </w:divBdr>
                      <w:divsChild>
                        <w:div w:id="1916234940">
                          <w:marLeft w:val="0"/>
                          <w:marRight w:val="0"/>
                          <w:marTop w:val="0"/>
                          <w:marBottom w:val="0"/>
                          <w:divBdr>
                            <w:top w:val="none" w:sz="0" w:space="0" w:color="auto"/>
                            <w:left w:val="none" w:sz="0" w:space="0" w:color="auto"/>
                            <w:bottom w:val="none" w:sz="0" w:space="0" w:color="auto"/>
                            <w:right w:val="none" w:sz="0" w:space="0" w:color="auto"/>
                          </w:divBdr>
                          <w:divsChild>
                            <w:div w:id="1240212493">
                              <w:marLeft w:val="0"/>
                              <w:marRight w:val="0"/>
                              <w:marTop w:val="0"/>
                              <w:marBottom w:val="0"/>
                              <w:divBdr>
                                <w:top w:val="none" w:sz="0" w:space="0" w:color="auto"/>
                                <w:left w:val="none" w:sz="0" w:space="0" w:color="auto"/>
                                <w:bottom w:val="none" w:sz="0" w:space="0" w:color="auto"/>
                                <w:right w:val="none" w:sz="0" w:space="0" w:color="auto"/>
                              </w:divBdr>
                            </w:div>
                            <w:div w:id="53824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300004">
                  <w:marLeft w:val="0"/>
                  <w:marRight w:val="0"/>
                  <w:marTop w:val="0"/>
                  <w:marBottom w:val="0"/>
                  <w:divBdr>
                    <w:top w:val="none" w:sz="0" w:space="0" w:color="auto"/>
                    <w:left w:val="none" w:sz="0" w:space="0" w:color="auto"/>
                    <w:bottom w:val="none" w:sz="0" w:space="0" w:color="auto"/>
                    <w:right w:val="none" w:sz="0" w:space="0" w:color="auto"/>
                  </w:divBdr>
                  <w:divsChild>
                    <w:div w:id="1257399007">
                      <w:marLeft w:val="0"/>
                      <w:marRight w:val="0"/>
                      <w:marTop w:val="0"/>
                      <w:marBottom w:val="0"/>
                      <w:divBdr>
                        <w:top w:val="none" w:sz="0" w:space="0" w:color="auto"/>
                        <w:left w:val="none" w:sz="0" w:space="0" w:color="auto"/>
                        <w:bottom w:val="none" w:sz="0" w:space="0" w:color="auto"/>
                        <w:right w:val="none" w:sz="0" w:space="0" w:color="auto"/>
                      </w:divBdr>
                      <w:divsChild>
                        <w:div w:id="760563058">
                          <w:marLeft w:val="0"/>
                          <w:marRight w:val="0"/>
                          <w:marTop w:val="0"/>
                          <w:marBottom w:val="0"/>
                          <w:divBdr>
                            <w:top w:val="none" w:sz="0" w:space="0" w:color="auto"/>
                            <w:left w:val="none" w:sz="0" w:space="0" w:color="auto"/>
                            <w:bottom w:val="none" w:sz="0" w:space="0" w:color="auto"/>
                            <w:right w:val="none" w:sz="0" w:space="0" w:color="auto"/>
                          </w:divBdr>
                          <w:divsChild>
                            <w:div w:id="1828396768">
                              <w:marLeft w:val="0"/>
                              <w:marRight w:val="0"/>
                              <w:marTop w:val="0"/>
                              <w:marBottom w:val="0"/>
                              <w:divBdr>
                                <w:top w:val="none" w:sz="0" w:space="0" w:color="auto"/>
                                <w:left w:val="none" w:sz="0" w:space="0" w:color="auto"/>
                                <w:bottom w:val="none" w:sz="0" w:space="0" w:color="auto"/>
                                <w:right w:val="none" w:sz="0" w:space="0" w:color="auto"/>
                              </w:divBdr>
                            </w:div>
                            <w:div w:id="16956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423343">
          <w:marLeft w:val="0"/>
          <w:marRight w:val="0"/>
          <w:marTop w:val="0"/>
          <w:marBottom w:val="0"/>
          <w:divBdr>
            <w:top w:val="none" w:sz="0" w:space="0" w:color="auto"/>
            <w:left w:val="none" w:sz="0" w:space="0" w:color="auto"/>
            <w:bottom w:val="none" w:sz="0" w:space="0" w:color="auto"/>
            <w:right w:val="none" w:sz="0" w:space="0" w:color="auto"/>
          </w:divBdr>
          <w:divsChild>
            <w:div w:id="528613432">
              <w:marLeft w:val="0"/>
              <w:marRight w:val="0"/>
              <w:marTop w:val="0"/>
              <w:marBottom w:val="0"/>
              <w:divBdr>
                <w:top w:val="none" w:sz="0" w:space="0" w:color="auto"/>
                <w:left w:val="none" w:sz="0" w:space="0" w:color="auto"/>
                <w:bottom w:val="none" w:sz="0" w:space="0" w:color="auto"/>
                <w:right w:val="none" w:sz="0" w:space="0" w:color="auto"/>
              </w:divBdr>
              <w:divsChild>
                <w:div w:id="181378807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34440534">
          <w:marLeft w:val="0"/>
          <w:marRight w:val="0"/>
          <w:marTop w:val="0"/>
          <w:marBottom w:val="0"/>
          <w:divBdr>
            <w:top w:val="none" w:sz="0" w:space="0" w:color="auto"/>
            <w:left w:val="none" w:sz="0" w:space="0" w:color="auto"/>
            <w:bottom w:val="none" w:sz="0" w:space="0" w:color="auto"/>
            <w:right w:val="none" w:sz="0" w:space="0" w:color="auto"/>
          </w:divBdr>
          <w:divsChild>
            <w:div w:id="1284649908">
              <w:marLeft w:val="0"/>
              <w:marRight w:val="0"/>
              <w:marTop w:val="0"/>
              <w:marBottom w:val="0"/>
              <w:divBdr>
                <w:top w:val="none" w:sz="0" w:space="0" w:color="auto"/>
                <w:left w:val="none" w:sz="0" w:space="0" w:color="auto"/>
                <w:bottom w:val="none" w:sz="0" w:space="0" w:color="auto"/>
                <w:right w:val="none" w:sz="0" w:space="0" w:color="auto"/>
              </w:divBdr>
              <w:divsChild>
                <w:div w:id="840661246">
                  <w:marLeft w:val="0"/>
                  <w:marRight w:val="0"/>
                  <w:marTop w:val="0"/>
                  <w:marBottom w:val="0"/>
                  <w:divBdr>
                    <w:top w:val="none" w:sz="0" w:space="0" w:color="auto"/>
                    <w:left w:val="none" w:sz="0" w:space="0" w:color="auto"/>
                    <w:bottom w:val="none" w:sz="0" w:space="0" w:color="auto"/>
                    <w:right w:val="none" w:sz="0" w:space="0" w:color="auto"/>
                  </w:divBdr>
                  <w:divsChild>
                    <w:div w:id="1026252548">
                      <w:marLeft w:val="0"/>
                      <w:marRight w:val="0"/>
                      <w:marTop w:val="0"/>
                      <w:marBottom w:val="0"/>
                      <w:divBdr>
                        <w:top w:val="none" w:sz="0" w:space="0" w:color="auto"/>
                        <w:left w:val="none" w:sz="0" w:space="0" w:color="auto"/>
                        <w:bottom w:val="none" w:sz="0" w:space="0" w:color="auto"/>
                        <w:right w:val="none" w:sz="0" w:space="0" w:color="auto"/>
                      </w:divBdr>
                      <w:divsChild>
                        <w:div w:id="910040331">
                          <w:marLeft w:val="0"/>
                          <w:marRight w:val="0"/>
                          <w:marTop w:val="0"/>
                          <w:marBottom w:val="0"/>
                          <w:divBdr>
                            <w:top w:val="none" w:sz="0" w:space="0" w:color="auto"/>
                            <w:left w:val="none" w:sz="0" w:space="0" w:color="auto"/>
                            <w:bottom w:val="none" w:sz="0" w:space="0" w:color="auto"/>
                            <w:right w:val="none" w:sz="0" w:space="0" w:color="auto"/>
                          </w:divBdr>
                          <w:divsChild>
                            <w:div w:id="1924409091">
                              <w:marLeft w:val="0"/>
                              <w:marRight w:val="0"/>
                              <w:marTop w:val="0"/>
                              <w:marBottom w:val="0"/>
                              <w:divBdr>
                                <w:top w:val="none" w:sz="0" w:space="0" w:color="auto"/>
                                <w:left w:val="none" w:sz="0" w:space="0" w:color="auto"/>
                                <w:bottom w:val="none" w:sz="0" w:space="0" w:color="auto"/>
                                <w:right w:val="none" w:sz="0" w:space="0" w:color="auto"/>
                              </w:divBdr>
                            </w:div>
                            <w:div w:id="52371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657739">
                  <w:marLeft w:val="0"/>
                  <w:marRight w:val="0"/>
                  <w:marTop w:val="0"/>
                  <w:marBottom w:val="0"/>
                  <w:divBdr>
                    <w:top w:val="none" w:sz="0" w:space="0" w:color="auto"/>
                    <w:left w:val="none" w:sz="0" w:space="0" w:color="auto"/>
                    <w:bottom w:val="none" w:sz="0" w:space="0" w:color="auto"/>
                    <w:right w:val="none" w:sz="0" w:space="0" w:color="auto"/>
                  </w:divBdr>
                  <w:divsChild>
                    <w:div w:id="1552036515">
                      <w:marLeft w:val="0"/>
                      <w:marRight w:val="0"/>
                      <w:marTop w:val="0"/>
                      <w:marBottom w:val="0"/>
                      <w:divBdr>
                        <w:top w:val="none" w:sz="0" w:space="0" w:color="auto"/>
                        <w:left w:val="none" w:sz="0" w:space="0" w:color="auto"/>
                        <w:bottom w:val="none" w:sz="0" w:space="0" w:color="auto"/>
                        <w:right w:val="none" w:sz="0" w:space="0" w:color="auto"/>
                      </w:divBdr>
                      <w:divsChild>
                        <w:div w:id="1325089942">
                          <w:marLeft w:val="0"/>
                          <w:marRight w:val="0"/>
                          <w:marTop w:val="0"/>
                          <w:marBottom w:val="0"/>
                          <w:divBdr>
                            <w:top w:val="none" w:sz="0" w:space="0" w:color="auto"/>
                            <w:left w:val="none" w:sz="0" w:space="0" w:color="auto"/>
                            <w:bottom w:val="none" w:sz="0" w:space="0" w:color="auto"/>
                            <w:right w:val="none" w:sz="0" w:space="0" w:color="auto"/>
                          </w:divBdr>
                          <w:divsChild>
                            <w:div w:id="1375809514">
                              <w:marLeft w:val="0"/>
                              <w:marRight w:val="0"/>
                              <w:marTop w:val="0"/>
                              <w:marBottom w:val="0"/>
                              <w:divBdr>
                                <w:top w:val="none" w:sz="0" w:space="0" w:color="auto"/>
                                <w:left w:val="none" w:sz="0" w:space="0" w:color="auto"/>
                                <w:bottom w:val="none" w:sz="0" w:space="0" w:color="auto"/>
                                <w:right w:val="none" w:sz="0" w:space="0" w:color="auto"/>
                              </w:divBdr>
                            </w:div>
                            <w:div w:id="85237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852975">
                  <w:marLeft w:val="0"/>
                  <w:marRight w:val="0"/>
                  <w:marTop w:val="0"/>
                  <w:marBottom w:val="0"/>
                  <w:divBdr>
                    <w:top w:val="none" w:sz="0" w:space="0" w:color="auto"/>
                    <w:left w:val="none" w:sz="0" w:space="0" w:color="auto"/>
                    <w:bottom w:val="none" w:sz="0" w:space="0" w:color="auto"/>
                    <w:right w:val="none" w:sz="0" w:space="0" w:color="auto"/>
                  </w:divBdr>
                  <w:divsChild>
                    <w:div w:id="788208475">
                      <w:marLeft w:val="0"/>
                      <w:marRight w:val="0"/>
                      <w:marTop w:val="0"/>
                      <w:marBottom w:val="0"/>
                      <w:divBdr>
                        <w:top w:val="none" w:sz="0" w:space="0" w:color="auto"/>
                        <w:left w:val="none" w:sz="0" w:space="0" w:color="auto"/>
                        <w:bottom w:val="none" w:sz="0" w:space="0" w:color="auto"/>
                        <w:right w:val="none" w:sz="0" w:space="0" w:color="auto"/>
                      </w:divBdr>
                      <w:divsChild>
                        <w:div w:id="2027519987">
                          <w:marLeft w:val="0"/>
                          <w:marRight w:val="0"/>
                          <w:marTop w:val="0"/>
                          <w:marBottom w:val="0"/>
                          <w:divBdr>
                            <w:top w:val="none" w:sz="0" w:space="0" w:color="auto"/>
                            <w:left w:val="none" w:sz="0" w:space="0" w:color="auto"/>
                            <w:bottom w:val="none" w:sz="0" w:space="0" w:color="auto"/>
                            <w:right w:val="none" w:sz="0" w:space="0" w:color="auto"/>
                          </w:divBdr>
                          <w:divsChild>
                            <w:div w:id="1220097063">
                              <w:marLeft w:val="0"/>
                              <w:marRight w:val="0"/>
                              <w:marTop w:val="0"/>
                              <w:marBottom w:val="0"/>
                              <w:divBdr>
                                <w:top w:val="none" w:sz="0" w:space="0" w:color="auto"/>
                                <w:left w:val="none" w:sz="0" w:space="0" w:color="auto"/>
                                <w:bottom w:val="none" w:sz="0" w:space="0" w:color="auto"/>
                                <w:right w:val="none" w:sz="0" w:space="0" w:color="auto"/>
                              </w:divBdr>
                            </w:div>
                            <w:div w:id="12225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361366">
                  <w:marLeft w:val="0"/>
                  <w:marRight w:val="0"/>
                  <w:marTop w:val="0"/>
                  <w:marBottom w:val="0"/>
                  <w:divBdr>
                    <w:top w:val="none" w:sz="0" w:space="0" w:color="auto"/>
                    <w:left w:val="none" w:sz="0" w:space="0" w:color="auto"/>
                    <w:bottom w:val="none" w:sz="0" w:space="0" w:color="auto"/>
                    <w:right w:val="none" w:sz="0" w:space="0" w:color="auto"/>
                  </w:divBdr>
                  <w:divsChild>
                    <w:div w:id="1462075292">
                      <w:marLeft w:val="0"/>
                      <w:marRight w:val="0"/>
                      <w:marTop w:val="0"/>
                      <w:marBottom w:val="0"/>
                      <w:divBdr>
                        <w:top w:val="none" w:sz="0" w:space="0" w:color="auto"/>
                        <w:left w:val="none" w:sz="0" w:space="0" w:color="auto"/>
                        <w:bottom w:val="none" w:sz="0" w:space="0" w:color="auto"/>
                        <w:right w:val="none" w:sz="0" w:space="0" w:color="auto"/>
                      </w:divBdr>
                      <w:divsChild>
                        <w:div w:id="1390686337">
                          <w:marLeft w:val="0"/>
                          <w:marRight w:val="0"/>
                          <w:marTop w:val="0"/>
                          <w:marBottom w:val="0"/>
                          <w:divBdr>
                            <w:top w:val="none" w:sz="0" w:space="0" w:color="auto"/>
                            <w:left w:val="none" w:sz="0" w:space="0" w:color="auto"/>
                            <w:bottom w:val="none" w:sz="0" w:space="0" w:color="auto"/>
                            <w:right w:val="none" w:sz="0" w:space="0" w:color="auto"/>
                          </w:divBdr>
                          <w:divsChild>
                            <w:div w:id="751583812">
                              <w:marLeft w:val="0"/>
                              <w:marRight w:val="0"/>
                              <w:marTop w:val="0"/>
                              <w:marBottom w:val="0"/>
                              <w:divBdr>
                                <w:top w:val="none" w:sz="0" w:space="0" w:color="auto"/>
                                <w:left w:val="none" w:sz="0" w:space="0" w:color="auto"/>
                                <w:bottom w:val="none" w:sz="0" w:space="0" w:color="auto"/>
                                <w:right w:val="none" w:sz="0" w:space="0" w:color="auto"/>
                              </w:divBdr>
                            </w:div>
                            <w:div w:id="10969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630142">
                  <w:marLeft w:val="0"/>
                  <w:marRight w:val="0"/>
                  <w:marTop w:val="0"/>
                  <w:marBottom w:val="0"/>
                  <w:divBdr>
                    <w:top w:val="none" w:sz="0" w:space="0" w:color="auto"/>
                    <w:left w:val="none" w:sz="0" w:space="0" w:color="auto"/>
                    <w:bottom w:val="none" w:sz="0" w:space="0" w:color="auto"/>
                    <w:right w:val="none" w:sz="0" w:space="0" w:color="auto"/>
                  </w:divBdr>
                  <w:divsChild>
                    <w:div w:id="545946289">
                      <w:marLeft w:val="0"/>
                      <w:marRight w:val="0"/>
                      <w:marTop w:val="0"/>
                      <w:marBottom w:val="0"/>
                      <w:divBdr>
                        <w:top w:val="none" w:sz="0" w:space="0" w:color="auto"/>
                        <w:left w:val="none" w:sz="0" w:space="0" w:color="auto"/>
                        <w:bottom w:val="none" w:sz="0" w:space="0" w:color="auto"/>
                        <w:right w:val="none" w:sz="0" w:space="0" w:color="auto"/>
                      </w:divBdr>
                      <w:divsChild>
                        <w:div w:id="1471630242">
                          <w:marLeft w:val="0"/>
                          <w:marRight w:val="0"/>
                          <w:marTop w:val="0"/>
                          <w:marBottom w:val="0"/>
                          <w:divBdr>
                            <w:top w:val="none" w:sz="0" w:space="0" w:color="auto"/>
                            <w:left w:val="none" w:sz="0" w:space="0" w:color="auto"/>
                            <w:bottom w:val="none" w:sz="0" w:space="0" w:color="auto"/>
                            <w:right w:val="none" w:sz="0" w:space="0" w:color="auto"/>
                          </w:divBdr>
                          <w:divsChild>
                            <w:div w:id="659506866">
                              <w:marLeft w:val="0"/>
                              <w:marRight w:val="0"/>
                              <w:marTop w:val="0"/>
                              <w:marBottom w:val="0"/>
                              <w:divBdr>
                                <w:top w:val="none" w:sz="0" w:space="0" w:color="auto"/>
                                <w:left w:val="none" w:sz="0" w:space="0" w:color="auto"/>
                                <w:bottom w:val="none" w:sz="0" w:space="0" w:color="auto"/>
                                <w:right w:val="none" w:sz="0" w:space="0" w:color="auto"/>
                              </w:divBdr>
                            </w:div>
                            <w:div w:id="109296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924649">
          <w:marLeft w:val="0"/>
          <w:marRight w:val="0"/>
          <w:marTop w:val="0"/>
          <w:marBottom w:val="0"/>
          <w:divBdr>
            <w:top w:val="none" w:sz="0" w:space="0" w:color="auto"/>
            <w:left w:val="none" w:sz="0" w:space="0" w:color="auto"/>
            <w:bottom w:val="none" w:sz="0" w:space="0" w:color="auto"/>
            <w:right w:val="none" w:sz="0" w:space="0" w:color="auto"/>
          </w:divBdr>
          <w:divsChild>
            <w:div w:id="684020567">
              <w:marLeft w:val="0"/>
              <w:marRight w:val="0"/>
              <w:marTop w:val="0"/>
              <w:marBottom w:val="0"/>
              <w:divBdr>
                <w:top w:val="none" w:sz="0" w:space="0" w:color="auto"/>
                <w:left w:val="none" w:sz="0" w:space="0" w:color="auto"/>
                <w:bottom w:val="none" w:sz="0" w:space="0" w:color="auto"/>
                <w:right w:val="none" w:sz="0" w:space="0" w:color="auto"/>
              </w:divBdr>
              <w:divsChild>
                <w:div w:id="10062046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66224760">
          <w:marLeft w:val="0"/>
          <w:marRight w:val="0"/>
          <w:marTop w:val="0"/>
          <w:marBottom w:val="0"/>
          <w:divBdr>
            <w:top w:val="none" w:sz="0" w:space="0" w:color="auto"/>
            <w:left w:val="none" w:sz="0" w:space="0" w:color="auto"/>
            <w:bottom w:val="none" w:sz="0" w:space="0" w:color="auto"/>
            <w:right w:val="none" w:sz="0" w:space="0" w:color="auto"/>
          </w:divBdr>
          <w:divsChild>
            <w:div w:id="1502701924">
              <w:marLeft w:val="0"/>
              <w:marRight w:val="0"/>
              <w:marTop w:val="0"/>
              <w:marBottom w:val="0"/>
              <w:divBdr>
                <w:top w:val="none" w:sz="0" w:space="0" w:color="auto"/>
                <w:left w:val="none" w:sz="0" w:space="0" w:color="auto"/>
                <w:bottom w:val="none" w:sz="0" w:space="0" w:color="auto"/>
                <w:right w:val="none" w:sz="0" w:space="0" w:color="auto"/>
              </w:divBdr>
              <w:divsChild>
                <w:div w:id="1149637553">
                  <w:marLeft w:val="0"/>
                  <w:marRight w:val="0"/>
                  <w:marTop w:val="0"/>
                  <w:marBottom w:val="0"/>
                  <w:divBdr>
                    <w:top w:val="none" w:sz="0" w:space="0" w:color="auto"/>
                    <w:left w:val="none" w:sz="0" w:space="0" w:color="auto"/>
                    <w:bottom w:val="none" w:sz="0" w:space="0" w:color="auto"/>
                    <w:right w:val="none" w:sz="0" w:space="0" w:color="auto"/>
                  </w:divBdr>
                  <w:divsChild>
                    <w:div w:id="641157884">
                      <w:marLeft w:val="0"/>
                      <w:marRight w:val="0"/>
                      <w:marTop w:val="0"/>
                      <w:marBottom w:val="0"/>
                      <w:divBdr>
                        <w:top w:val="none" w:sz="0" w:space="0" w:color="auto"/>
                        <w:left w:val="none" w:sz="0" w:space="0" w:color="auto"/>
                        <w:bottom w:val="none" w:sz="0" w:space="0" w:color="auto"/>
                        <w:right w:val="none" w:sz="0" w:space="0" w:color="auto"/>
                      </w:divBdr>
                      <w:divsChild>
                        <w:div w:id="789399514">
                          <w:marLeft w:val="0"/>
                          <w:marRight w:val="0"/>
                          <w:marTop w:val="0"/>
                          <w:marBottom w:val="0"/>
                          <w:divBdr>
                            <w:top w:val="none" w:sz="0" w:space="0" w:color="auto"/>
                            <w:left w:val="none" w:sz="0" w:space="0" w:color="auto"/>
                            <w:bottom w:val="none" w:sz="0" w:space="0" w:color="auto"/>
                            <w:right w:val="none" w:sz="0" w:space="0" w:color="auto"/>
                          </w:divBdr>
                          <w:divsChild>
                            <w:div w:id="1987010271">
                              <w:marLeft w:val="0"/>
                              <w:marRight w:val="0"/>
                              <w:marTop w:val="0"/>
                              <w:marBottom w:val="0"/>
                              <w:divBdr>
                                <w:top w:val="none" w:sz="0" w:space="0" w:color="auto"/>
                                <w:left w:val="none" w:sz="0" w:space="0" w:color="auto"/>
                                <w:bottom w:val="none" w:sz="0" w:space="0" w:color="auto"/>
                                <w:right w:val="none" w:sz="0" w:space="0" w:color="auto"/>
                              </w:divBdr>
                            </w:div>
                            <w:div w:id="109093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171900">
                  <w:marLeft w:val="0"/>
                  <w:marRight w:val="0"/>
                  <w:marTop w:val="0"/>
                  <w:marBottom w:val="0"/>
                  <w:divBdr>
                    <w:top w:val="none" w:sz="0" w:space="0" w:color="auto"/>
                    <w:left w:val="none" w:sz="0" w:space="0" w:color="auto"/>
                    <w:bottom w:val="none" w:sz="0" w:space="0" w:color="auto"/>
                    <w:right w:val="none" w:sz="0" w:space="0" w:color="auto"/>
                  </w:divBdr>
                  <w:divsChild>
                    <w:div w:id="943927152">
                      <w:marLeft w:val="0"/>
                      <w:marRight w:val="0"/>
                      <w:marTop w:val="0"/>
                      <w:marBottom w:val="0"/>
                      <w:divBdr>
                        <w:top w:val="none" w:sz="0" w:space="0" w:color="auto"/>
                        <w:left w:val="none" w:sz="0" w:space="0" w:color="auto"/>
                        <w:bottom w:val="none" w:sz="0" w:space="0" w:color="auto"/>
                        <w:right w:val="none" w:sz="0" w:space="0" w:color="auto"/>
                      </w:divBdr>
                      <w:divsChild>
                        <w:div w:id="1738431456">
                          <w:marLeft w:val="0"/>
                          <w:marRight w:val="0"/>
                          <w:marTop w:val="0"/>
                          <w:marBottom w:val="0"/>
                          <w:divBdr>
                            <w:top w:val="none" w:sz="0" w:space="0" w:color="auto"/>
                            <w:left w:val="none" w:sz="0" w:space="0" w:color="auto"/>
                            <w:bottom w:val="none" w:sz="0" w:space="0" w:color="auto"/>
                            <w:right w:val="none" w:sz="0" w:space="0" w:color="auto"/>
                          </w:divBdr>
                          <w:divsChild>
                            <w:div w:id="30543242">
                              <w:marLeft w:val="0"/>
                              <w:marRight w:val="0"/>
                              <w:marTop w:val="0"/>
                              <w:marBottom w:val="0"/>
                              <w:divBdr>
                                <w:top w:val="none" w:sz="0" w:space="0" w:color="auto"/>
                                <w:left w:val="none" w:sz="0" w:space="0" w:color="auto"/>
                                <w:bottom w:val="none" w:sz="0" w:space="0" w:color="auto"/>
                                <w:right w:val="none" w:sz="0" w:space="0" w:color="auto"/>
                              </w:divBdr>
                            </w:div>
                            <w:div w:id="212830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284507">
                  <w:marLeft w:val="0"/>
                  <w:marRight w:val="0"/>
                  <w:marTop w:val="0"/>
                  <w:marBottom w:val="0"/>
                  <w:divBdr>
                    <w:top w:val="none" w:sz="0" w:space="0" w:color="auto"/>
                    <w:left w:val="none" w:sz="0" w:space="0" w:color="auto"/>
                    <w:bottom w:val="none" w:sz="0" w:space="0" w:color="auto"/>
                    <w:right w:val="none" w:sz="0" w:space="0" w:color="auto"/>
                  </w:divBdr>
                  <w:divsChild>
                    <w:div w:id="263077265">
                      <w:marLeft w:val="0"/>
                      <w:marRight w:val="0"/>
                      <w:marTop w:val="0"/>
                      <w:marBottom w:val="0"/>
                      <w:divBdr>
                        <w:top w:val="none" w:sz="0" w:space="0" w:color="auto"/>
                        <w:left w:val="none" w:sz="0" w:space="0" w:color="auto"/>
                        <w:bottom w:val="none" w:sz="0" w:space="0" w:color="auto"/>
                        <w:right w:val="none" w:sz="0" w:space="0" w:color="auto"/>
                      </w:divBdr>
                      <w:divsChild>
                        <w:div w:id="358093826">
                          <w:marLeft w:val="0"/>
                          <w:marRight w:val="0"/>
                          <w:marTop w:val="0"/>
                          <w:marBottom w:val="0"/>
                          <w:divBdr>
                            <w:top w:val="none" w:sz="0" w:space="0" w:color="auto"/>
                            <w:left w:val="none" w:sz="0" w:space="0" w:color="auto"/>
                            <w:bottom w:val="none" w:sz="0" w:space="0" w:color="auto"/>
                            <w:right w:val="none" w:sz="0" w:space="0" w:color="auto"/>
                          </w:divBdr>
                          <w:divsChild>
                            <w:div w:id="1375039582">
                              <w:marLeft w:val="0"/>
                              <w:marRight w:val="0"/>
                              <w:marTop w:val="0"/>
                              <w:marBottom w:val="0"/>
                              <w:divBdr>
                                <w:top w:val="none" w:sz="0" w:space="0" w:color="auto"/>
                                <w:left w:val="none" w:sz="0" w:space="0" w:color="auto"/>
                                <w:bottom w:val="none" w:sz="0" w:space="0" w:color="auto"/>
                                <w:right w:val="none" w:sz="0" w:space="0" w:color="auto"/>
                              </w:divBdr>
                            </w:div>
                            <w:div w:id="182334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155433">
          <w:marLeft w:val="0"/>
          <w:marRight w:val="0"/>
          <w:marTop w:val="0"/>
          <w:marBottom w:val="0"/>
          <w:divBdr>
            <w:top w:val="none" w:sz="0" w:space="0" w:color="auto"/>
            <w:left w:val="none" w:sz="0" w:space="0" w:color="auto"/>
            <w:bottom w:val="none" w:sz="0" w:space="0" w:color="auto"/>
            <w:right w:val="none" w:sz="0" w:space="0" w:color="auto"/>
          </w:divBdr>
          <w:divsChild>
            <w:div w:id="135954113">
              <w:marLeft w:val="0"/>
              <w:marRight w:val="0"/>
              <w:marTop w:val="0"/>
              <w:marBottom w:val="0"/>
              <w:divBdr>
                <w:top w:val="none" w:sz="0" w:space="0" w:color="auto"/>
                <w:left w:val="none" w:sz="0" w:space="0" w:color="auto"/>
                <w:bottom w:val="none" w:sz="0" w:space="0" w:color="auto"/>
                <w:right w:val="none" w:sz="0" w:space="0" w:color="auto"/>
              </w:divBdr>
              <w:divsChild>
                <w:div w:id="10563956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88355997">
          <w:marLeft w:val="0"/>
          <w:marRight w:val="0"/>
          <w:marTop w:val="0"/>
          <w:marBottom w:val="0"/>
          <w:divBdr>
            <w:top w:val="none" w:sz="0" w:space="0" w:color="auto"/>
            <w:left w:val="none" w:sz="0" w:space="0" w:color="auto"/>
            <w:bottom w:val="none" w:sz="0" w:space="0" w:color="auto"/>
            <w:right w:val="none" w:sz="0" w:space="0" w:color="auto"/>
          </w:divBdr>
          <w:divsChild>
            <w:div w:id="1806503419">
              <w:marLeft w:val="0"/>
              <w:marRight w:val="0"/>
              <w:marTop w:val="0"/>
              <w:marBottom w:val="0"/>
              <w:divBdr>
                <w:top w:val="none" w:sz="0" w:space="0" w:color="auto"/>
                <w:left w:val="none" w:sz="0" w:space="0" w:color="auto"/>
                <w:bottom w:val="none" w:sz="0" w:space="0" w:color="auto"/>
                <w:right w:val="none" w:sz="0" w:space="0" w:color="auto"/>
              </w:divBdr>
              <w:divsChild>
                <w:div w:id="653029008">
                  <w:marLeft w:val="0"/>
                  <w:marRight w:val="0"/>
                  <w:marTop w:val="0"/>
                  <w:marBottom w:val="0"/>
                  <w:divBdr>
                    <w:top w:val="none" w:sz="0" w:space="0" w:color="auto"/>
                    <w:left w:val="none" w:sz="0" w:space="0" w:color="auto"/>
                    <w:bottom w:val="none" w:sz="0" w:space="0" w:color="auto"/>
                    <w:right w:val="none" w:sz="0" w:space="0" w:color="auto"/>
                  </w:divBdr>
                  <w:divsChild>
                    <w:div w:id="223179855">
                      <w:marLeft w:val="0"/>
                      <w:marRight w:val="0"/>
                      <w:marTop w:val="0"/>
                      <w:marBottom w:val="0"/>
                      <w:divBdr>
                        <w:top w:val="none" w:sz="0" w:space="0" w:color="auto"/>
                        <w:left w:val="none" w:sz="0" w:space="0" w:color="auto"/>
                        <w:bottom w:val="none" w:sz="0" w:space="0" w:color="auto"/>
                        <w:right w:val="none" w:sz="0" w:space="0" w:color="auto"/>
                      </w:divBdr>
                      <w:divsChild>
                        <w:div w:id="1762950844">
                          <w:marLeft w:val="0"/>
                          <w:marRight w:val="0"/>
                          <w:marTop w:val="0"/>
                          <w:marBottom w:val="0"/>
                          <w:divBdr>
                            <w:top w:val="none" w:sz="0" w:space="0" w:color="auto"/>
                            <w:left w:val="none" w:sz="0" w:space="0" w:color="auto"/>
                            <w:bottom w:val="none" w:sz="0" w:space="0" w:color="auto"/>
                            <w:right w:val="none" w:sz="0" w:space="0" w:color="auto"/>
                          </w:divBdr>
                          <w:divsChild>
                            <w:div w:id="205873709">
                              <w:marLeft w:val="0"/>
                              <w:marRight w:val="0"/>
                              <w:marTop w:val="0"/>
                              <w:marBottom w:val="0"/>
                              <w:divBdr>
                                <w:top w:val="none" w:sz="0" w:space="0" w:color="auto"/>
                                <w:left w:val="none" w:sz="0" w:space="0" w:color="auto"/>
                                <w:bottom w:val="none" w:sz="0" w:space="0" w:color="auto"/>
                                <w:right w:val="none" w:sz="0" w:space="0" w:color="auto"/>
                              </w:divBdr>
                            </w:div>
                            <w:div w:id="179093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741584">
                  <w:marLeft w:val="0"/>
                  <w:marRight w:val="0"/>
                  <w:marTop w:val="0"/>
                  <w:marBottom w:val="0"/>
                  <w:divBdr>
                    <w:top w:val="none" w:sz="0" w:space="0" w:color="auto"/>
                    <w:left w:val="none" w:sz="0" w:space="0" w:color="auto"/>
                    <w:bottom w:val="none" w:sz="0" w:space="0" w:color="auto"/>
                    <w:right w:val="none" w:sz="0" w:space="0" w:color="auto"/>
                  </w:divBdr>
                  <w:divsChild>
                    <w:div w:id="8991203">
                      <w:marLeft w:val="0"/>
                      <w:marRight w:val="0"/>
                      <w:marTop w:val="0"/>
                      <w:marBottom w:val="0"/>
                      <w:divBdr>
                        <w:top w:val="none" w:sz="0" w:space="0" w:color="auto"/>
                        <w:left w:val="none" w:sz="0" w:space="0" w:color="auto"/>
                        <w:bottom w:val="none" w:sz="0" w:space="0" w:color="auto"/>
                        <w:right w:val="none" w:sz="0" w:space="0" w:color="auto"/>
                      </w:divBdr>
                      <w:divsChild>
                        <w:div w:id="1346445841">
                          <w:marLeft w:val="0"/>
                          <w:marRight w:val="0"/>
                          <w:marTop w:val="0"/>
                          <w:marBottom w:val="0"/>
                          <w:divBdr>
                            <w:top w:val="none" w:sz="0" w:space="0" w:color="auto"/>
                            <w:left w:val="none" w:sz="0" w:space="0" w:color="auto"/>
                            <w:bottom w:val="none" w:sz="0" w:space="0" w:color="auto"/>
                            <w:right w:val="none" w:sz="0" w:space="0" w:color="auto"/>
                          </w:divBdr>
                          <w:divsChild>
                            <w:div w:id="609774690">
                              <w:marLeft w:val="0"/>
                              <w:marRight w:val="0"/>
                              <w:marTop w:val="0"/>
                              <w:marBottom w:val="0"/>
                              <w:divBdr>
                                <w:top w:val="none" w:sz="0" w:space="0" w:color="auto"/>
                                <w:left w:val="none" w:sz="0" w:space="0" w:color="auto"/>
                                <w:bottom w:val="none" w:sz="0" w:space="0" w:color="auto"/>
                                <w:right w:val="none" w:sz="0" w:space="0" w:color="auto"/>
                              </w:divBdr>
                            </w:div>
                            <w:div w:id="51184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45614">
          <w:marLeft w:val="0"/>
          <w:marRight w:val="0"/>
          <w:marTop w:val="0"/>
          <w:marBottom w:val="0"/>
          <w:divBdr>
            <w:top w:val="none" w:sz="0" w:space="0" w:color="auto"/>
            <w:left w:val="none" w:sz="0" w:space="0" w:color="auto"/>
            <w:bottom w:val="none" w:sz="0" w:space="0" w:color="auto"/>
            <w:right w:val="none" w:sz="0" w:space="0" w:color="auto"/>
          </w:divBdr>
          <w:divsChild>
            <w:div w:id="1545633361">
              <w:marLeft w:val="0"/>
              <w:marRight w:val="0"/>
              <w:marTop w:val="0"/>
              <w:marBottom w:val="0"/>
              <w:divBdr>
                <w:top w:val="none" w:sz="0" w:space="0" w:color="auto"/>
                <w:left w:val="none" w:sz="0" w:space="0" w:color="auto"/>
                <w:bottom w:val="none" w:sz="0" w:space="0" w:color="auto"/>
                <w:right w:val="none" w:sz="0" w:space="0" w:color="auto"/>
              </w:divBdr>
              <w:divsChild>
                <w:div w:id="205901048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665481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rlz=1C1GCEA_enIN1156IN1156&amp;cs=0&amp;sca_esv=84dc1a233e0c1243&amp;q=data+breaches&amp;sa=X&amp;ved=2ahUKEwiL5f-X8_qOAxXxXWwGHQb1CYwQxccNegQIFRAB&amp;mstk=AUtExfAUiAejhzy1hWUYnFp0u2zs3TEA83LCRyJG-hIRjTDOJ0EK-ScgIgDnAWep2LjaFYXe0sgQRQUTzq4jJXZ-wHKzQsPD1J2X3dN0iE22FJ-4oeKYOl6gtrfuFnhdw7T7yGE&amp;csui=3" TargetMode="External"/><Relationship Id="rId13" Type="http://schemas.openxmlformats.org/officeDocument/2006/relationships/hyperlink" Target="https://www.google.com/search?rlz=1C1GCEA_enIN1156IN1156&amp;cs=0&amp;sca_esv=84dc1a233e0c1243&amp;q=data+sovereignty&amp;sa=X&amp;ved=2ahUKEwiL5f-X8_qOAxXxXWwGHQb1CYwQxccNegQIOhAC&amp;mstk=AUtExfAUiAejhzy1hWUYnFp0u2zs3TEA83LCRyJG-hIRjTDOJ0EK-ScgIgDnAWep2LjaFYXe0sgQRQUTzq4jJXZ-wHKzQsPD1J2X3dN0iE22FJ-4oeKYOl6gtrfuFnhdw7T7yGE&amp;csui=3" TargetMode="External"/><Relationship Id="rId18" Type="http://schemas.openxmlformats.org/officeDocument/2006/relationships/hyperlink" Target="https://www.google.com/search?rlz=1C1GCEA_enIN1156IN1156&amp;cs=0&amp;sca_esv=84dc1a233e0c1243&amp;q=Cybersecurity&amp;sa=X&amp;ved=2ahUKEwiL5f-X8_qOAxXxXWwGHQb1CYwQxccNegQIYhAB&amp;mstk=AUtExfAUiAejhzy1hWUYnFp0u2zs3TEA83LCRyJG-hIRjTDOJ0EK-ScgIgDnAWep2LjaFYXe0sgQRQUTzq4jJXZ-wHKzQsPD1J2X3dN0iE22FJ-4oeKYOl6gtrfuFnhdw7T7yGE&amp;csui=3"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pib.gov.in/PressReleasePage.aspx?PRID=2113855" TargetMode="External"/><Relationship Id="rId12" Type="http://schemas.openxmlformats.org/officeDocument/2006/relationships/hyperlink" Target="https://www.google.com/search?rlz=1C1GCEA_enIN1156IN1156&amp;cs=0&amp;sca_esv=84dc1a233e0c1243&amp;q=data+localization&amp;sa=X&amp;ved=2ahUKEwiL5f-X8_qOAxXxXWwGHQb1CYwQxccNegQIOhAB&amp;mstk=AUtExfAUiAejhzy1hWUYnFp0u2zs3TEA83LCRyJG-hIRjTDOJ0EK-ScgIgDnAWep2LjaFYXe0sgQRQUTzq4jJXZ-wHKzQsPD1J2X3dN0iE22FJ-4oeKYOl6gtrfuFnhdw7T7yGE&amp;csui=3" TargetMode="External"/><Relationship Id="rId17" Type="http://schemas.openxmlformats.org/officeDocument/2006/relationships/hyperlink" Target="https://www.google.com/search?rlz=1C1GCEA_enIN1156IN1156&amp;cs=0&amp;sca_esv=84dc1a233e0c1243&amp;q=5G&amp;sa=X&amp;ved=2ahUKEwiL5f-X8_qOAxXxXWwGHQb1CYwQxccNegQIVBAB&amp;mstk=AUtExfAUiAejhzy1hWUYnFp0u2zs3TEA83LCRyJG-hIRjTDOJ0EK-ScgIgDnAWep2LjaFYXe0sgQRQUTzq4jJXZ-wHKzQsPD1J2X3dN0iE22FJ-4oeKYOl6gtrfuFnhdw7T7yGE&amp;csui=3" TargetMode="External"/><Relationship Id="rId2" Type="http://schemas.openxmlformats.org/officeDocument/2006/relationships/styles" Target="styles.xml"/><Relationship Id="rId16" Type="http://schemas.openxmlformats.org/officeDocument/2006/relationships/hyperlink" Target="https://www.google.com/search?rlz=1C1GCEA_enIN1156IN1156&amp;cs=0&amp;sca_esv=84dc1a233e0c1243&amp;q=Telecommunications+Regulation&amp;sa=X&amp;ved=2ahUKEwiL5f-X8_qOAxXxXWwGHQb1CYwQxccNegQIYRAB&amp;mstk=AUtExfAUiAejhzy1hWUYnFp0u2zs3TEA83LCRyJG-hIRjTDOJ0EK-ScgIgDnAWep2LjaFYXe0sgQRQUTzq4jJXZ-wHKzQsPD1J2X3dN0iE22FJ-4oeKYOl6gtrfuFnhdw7T7yGE&amp;csui=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rlz=1C1GCEA_enIN1156IN1156&amp;cs=0&amp;sca_esv=84dc1a233e0c1243&amp;q=Data+Governance&amp;sa=X&amp;ved=2ahUKEwiL5f-X8_qOAxXxXWwGHQb1CYwQxccNegQIaxAB&amp;mstk=AUtExfAUiAejhzy1hWUYnFp0u2zs3TEA83LCRyJG-hIRjTDOJ0EK-ScgIgDnAWep2LjaFYXe0sgQRQUTzq4jJXZ-wHKzQsPD1J2X3dN0iE22FJ-4oeKYOl6gtrfuFnhdw7T7yGE&amp;csui=3" TargetMode="External"/><Relationship Id="rId5" Type="http://schemas.openxmlformats.org/officeDocument/2006/relationships/footnotes" Target="footnotes.xml"/><Relationship Id="rId15" Type="http://schemas.openxmlformats.org/officeDocument/2006/relationships/hyperlink" Target="https://www.google.com/search?rlz=1C1GCEA_enIN1156IN1156&amp;cs=0&amp;sca_esv=84dc1a233e0c1243&amp;q=Digital+Infrastructure&amp;sa=X&amp;ved=2ahUKEwiL5f-X8_qOAxXxXWwGHQb1CYwQxccNegQIZxAB&amp;mstk=AUtExfAUiAejhzy1hWUYnFp0u2zs3TEA83LCRyJG-hIRjTDOJ0EK-ScgIgDnAWep2LjaFYXe0sgQRQUTzq4jJXZ-wHKzQsPD1J2X3dN0iE22FJ-4oeKYOl6gtrfuFnhdw7T7yGE&amp;csui=3" TargetMode="External"/><Relationship Id="rId10" Type="http://schemas.openxmlformats.org/officeDocument/2006/relationships/hyperlink" Target="https://www.google.com/search?rlz=1C1GCEA_enIN1156IN1156&amp;cs=0&amp;sca_esv=84dc1a233e0c1243&amp;q=algorithmic+bias&amp;sa=X&amp;ved=2ahUKEwiL5f-X8_qOAxXxXWwGHQb1CYwQxccNegQIFRAD&amp;mstk=AUtExfAUiAejhzy1hWUYnFp0u2zs3TEA83LCRyJG-hIRjTDOJ0EK-ScgIgDnAWep2LjaFYXe0sgQRQUTzq4jJXZ-wHKzQsPD1J2X3dN0iE22FJ-4oeKYOl6gtrfuFnhdw7T7yGE&amp;csui=3" TargetMode="External"/><Relationship Id="rId19" Type="http://schemas.openxmlformats.org/officeDocument/2006/relationships/hyperlink" Target="https://www.vhive.ai/glossary/telco-digital-transformation/" TargetMode="External"/><Relationship Id="rId4" Type="http://schemas.openxmlformats.org/officeDocument/2006/relationships/webSettings" Target="webSettings.xml"/><Relationship Id="rId9" Type="http://schemas.openxmlformats.org/officeDocument/2006/relationships/hyperlink" Target="https://www.google.com/search?rlz=1C1GCEA_enIN1156IN1156&amp;cs=0&amp;sca_esv=84dc1a233e0c1243&amp;q=cyberattacks&amp;sa=X&amp;ved=2ahUKEwiL5f-X8_qOAxXxXWwGHQb1CYwQxccNegQIFRAC&amp;mstk=AUtExfAUiAejhzy1hWUYnFp0u2zs3TEA83LCRyJG-hIRjTDOJ0EK-ScgIgDnAWep2LjaFYXe0sgQRQUTzq4jJXZ-wHKzQsPD1J2X3dN0iE22FJ-4oeKYOl6gtrfuFnhdw7T7yGE&amp;csui=3" TargetMode="External"/><Relationship Id="rId14" Type="http://schemas.openxmlformats.org/officeDocument/2006/relationships/hyperlink" Target="https://www.google.com/search?rlz=1C1GCEA_enIN1156IN1156&amp;cs=0&amp;sca_esv=84dc1a233e0c1243&amp;q=data+portability&amp;sa=X&amp;ved=2ahUKEwiL5f-X8_qOAxXxXWwGHQb1CYwQxccNegQIOhAD&amp;mstk=AUtExfAUiAejhzy1hWUYnFp0u2zs3TEA83LCRyJG-hIRjTDOJ0EK-ScgIgDnAWep2LjaFYXe0sgQRQUTzq4jJXZ-wHKzQsPD1J2X3dN0iE22FJ-4oeKYOl6gtrfuFnhdw7T7yGE&amp;csui=3"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pib.gov.in/PressReleasePage.aspx?PRID=21027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4</Pages>
  <Words>1652</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Ekta Tiwari</dc:creator>
  <cp:keywords/>
  <dc:description/>
  <cp:lastModifiedBy>Ekta Tiwari</cp:lastModifiedBy>
  <cp:revision>5</cp:revision>
  <dcterms:created xsi:type="dcterms:W3CDTF">2025-08-08T07:05:00Z</dcterms:created>
  <dcterms:modified xsi:type="dcterms:W3CDTF">2025-08-12T12:20:00Z</dcterms:modified>
</cp:coreProperties>
</file>