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4B4E1" w14:textId="5B676136" w:rsidR="004A2A10" w:rsidRPr="00CD1E79" w:rsidRDefault="00B37E1C" w:rsidP="008F28E4">
      <w:pPr>
        <w:tabs>
          <w:tab w:val="left" w:pos="8910"/>
        </w:tabs>
        <w:spacing w:after="0" w:line="288" w:lineRule="auto"/>
        <w:jc w:val="center"/>
        <w:rPr>
          <w:rFonts w:ascii="Tahoma" w:hAnsi="Tahoma" w:cs="Tahoma"/>
          <w:b/>
          <w:bCs/>
          <w:sz w:val="24"/>
          <w:szCs w:val="24"/>
          <w:u w:val="single"/>
        </w:rPr>
      </w:pPr>
      <w:r w:rsidRPr="00CD1E79">
        <w:rPr>
          <w:rFonts w:ascii="Tahoma" w:hAnsi="Tahoma" w:cs="Tahoma"/>
          <w:b/>
          <w:bCs/>
          <w:sz w:val="24"/>
          <w:szCs w:val="24"/>
          <w:u w:val="single"/>
        </w:rPr>
        <w:t>Keynote address</w:t>
      </w:r>
      <w:r w:rsidR="00543390" w:rsidRPr="00CD1E79">
        <w:rPr>
          <w:rFonts w:ascii="Tahoma" w:hAnsi="Tahoma" w:cs="Tahoma"/>
          <w:b/>
          <w:bCs/>
          <w:sz w:val="24"/>
          <w:szCs w:val="24"/>
          <w:u w:val="single"/>
        </w:rPr>
        <w:t xml:space="preserve"> </w:t>
      </w:r>
      <w:r w:rsidR="00830EF8" w:rsidRPr="00CD1E79">
        <w:rPr>
          <w:rFonts w:ascii="Tahoma" w:hAnsi="Tahoma" w:cs="Tahoma"/>
          <w:b/>
          <w:bCs/>
          <w:sz w:val="24"/>
          <w:szCs w:val="24"/>
          <w:u w:val="single"/>
        </w:rPr>
        <w:t>by the Chairman, TRAI</w:t>
      </w:r>
      <w:r w:rsidRPr="00CD1E79">
        <w:rPr>
          <w:rFonts w:ascii="Tahoma" w:hAnsi="Tahoma" w:cs="Tahoma"/>
          <w:b/>
          <w:bCs/>
          <w:sz w:val="24"/>
          <w:szCs w:val="24"/>
          <w:u w:val="single"/>
        </w:rPr>
        <w:t xml:space="preserve"> at the 33</w:t>
      </w:r>
      <w:r w:rsidRPr="00CD1E79">
        <w:rPr>
          <w:rFonts w:ascii="Tahoma" w:hAnsi="Tahoma" w:cs="Tahoma"/>
          <w:b/>
          <w:bCs/>
          <w:sz w:val="24"/>
          <w:szCs w:val="24"/>
          <w:u w:val="single"/>
          <w:vertAlign w:val="superscript"/>
        </w:rPr>
        <w:t>rd</w:t>
      </w:r>
      <w:r w:rsidRPr="00CD1E79">
        <w:rPr>
          <w:rFonts w:ascii="Tahoma" w:hAnsi="Tahoma" w:cs="Tahoma"/>
          <w:b/>
          <w:bCs/>
          <w:sz w:val="24"/>
          <w:szCs w:val="24"/>
          <w:u w:val="single"/>
        </w:rPr>
        <w:t xml:space="preserve"> Convergence India 2026 Expo</w:t>
      </w:r>
    </w:p>
    <w:p w14:paraId="1BA0824A" w14:textId="77777777" w:rsidR="00A00B12" w:rsidRPr="00CD1E79" w:rsidRDefault="00A00B12" w:rsidP="00554FDB">
      <w:pPr>
        <w:spacing w:after="0" w:line="288" w:lineRule="auto"/>
        <w:jc w:val="center"/>
        <w:rPr>
          <w:rFonts w:ascii="Tahoma" w:hAnsi="Tahoma" w:cs="Tahoma"/>
          <w:b/>
          <w:bCs/>
          <w:sz w:val="24"/>
          <w:szCs w:val="24"/>
          <w:u w:val="single"/>
        </w:rPr>
      </w:pPr>
    </w:p>
    <w:p w14:paraId="3EE55800" w14:textId="0823C5BF" w:rsidR="006F70C7" w:rsidRPr="00CD1E79" w:rsidRDefault="00A5243E" w:rsidP="00A5243E">
      <w:pPr>
        <w:tabs>
          <w:tab w:val="left" w:pos="8910"/>
        </w:tabs>
        <w:spacing w:after="0" w:line="288" w:lineRule="auto"/>
        <w:jc w:val="center"/>
        <w:rPr>
          <w:rFonts w:ascii="Tahoma" w:hAnsi="Tahoma" w:cs="Tahoma"/>
          <w:b/>
          <w:bCs/>
          <w:color w:val="2F5496" w:themeColor="accent1" w:themeShade="BF"/>
          <w:sz w:val="24"/>
          <w:szCs w:val="24"/>
        </w:rPr>
      </w:pPr>
      <w:r w:rsidRPr="00CD1E79">
        <w:rPr>
          <w:rFonts w:ascii="Tahoma" w:hAnsi="Tahoma" w:cs="Tahoma"/>
          <w:b/>
          <w:bCs/>
          <w:color w:val="2F5496" w:themeColor="accent1" w:themeShade="BF"/>
          <w:sz w:val="24"/>
          <w:szCs w:val="24"/>
        </w:rPr>
        <w:t>India’s Impact: Tech Today, Transformation Tomorrow</w:t>
      </w:r>
    </w:p>
    <w:p w14:paraId="6BF703F3" w14:textId="77777777" w:rsidR="00A5243E" w:rsidRPr="00CD1E79" w:rsidRDefault="00A5243E" w:rsidP="008042F0">
      <w:pPr>
        <w:spacing w:after="0" w:line="288" w:lineRule="auto"/>
        <w:jc w:val="center"/>
        <w:rPr>
          <w:rFonts w:ascii="Tahoma" w:hAnsi="Tahoma" w:cs="Tahoma"/>
          <w:sz w:val="24"/>
          <w:szCs w:val="24"/>
          <w:u w:val="single"/>
        </w:rPr>
      </w:pPr>
    </w:p>
    <w:p w14:paraId="7E0A4D5C" w14:textId="7E5F7351" w:rsidR="004A2A10" w:rsidRPr="00CD1E79" w:rsidRDefault="008042F0" w:rsidP="008042F0">
      <w:pPr>
        <w:spacing w:after="0" w:line="288" w:lineRule="auto"/>
        <w:jc w:val="center"/>
        <w:rPr>
          <w:rFonts w:ascii="Tahoma" w:hAnsi="Tahoma" w:cs="Tahoma"/>
          <w:sz w:val="24"/>
          <w:szCs w:val="24"/>
          <w:u w:val="single"/>
        </w:rPr>
      </w:pPr>
      <w:r w:rsidRPr="00CD1E79">
        <w:rPr>
          <w:rFonts w:ascii="Tahoma" w:hAnsi="Tahoma" w:cs="Tahoma"/>
          <w:sz w:val="24"/>
          <w:szCs w:val="24"/>
          <w:u w:val="single"/>
        </w:rPr>
        <w:t>Inputs of NSL-II Unit</w:t>
      </w:r>
    </w:p>
    <w:p w14:paraId="1CA3221E" w14:textId="77777777" w:rsidR="008042F0" w:rsidRPr="00CD1E79" w:rsidRDefault="008042F0" w:rsidP="008042F0">
      <w:pPr>
        <w:spacing w:after="0" w:line="288" w:lineRule="auto"/>
        <w:jc w:val="center"/>
        <w:rPr>
          <w:rFonts w:ascii="Tahoma" w:hAnsi="Tahoma" w:cs="Tahoma"/>
          <w:color w:val="2F5496" w:themeColor="accent1" w:themeShade="BF"/>
          <w:sz w:val="24"/>
          <w:szCs w:val="24"/>
        </w:rPr>
      </w:pPr>
    </w:p>
    <w:p w14:paraId="7A02C626" w14:textId="77777777" w:rsidR="000F54E1" w:rsidRPr="00CD1E79" w:rsidRDefault="00EF07F2" w:rsidP="000F54E1">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Today, telecom connectivity is about empowerment, productivity, and opportunity. </w:t>
      </w:r>
      <w:r w:rsidR="000F54E1" w:rsidRPr="00CD1E79">
        <w:rPr>
          <w:rFonts w:ascii="Tahoma" w:hAnsi="Tahoma" w:cs="Tahoma"/>
          <w:sz w:val="24"/>
          <w:szCs w:val="24"/>
        </w:rPr>
        <w:t>India is undergoing one of the fastest digital transformations in the world. Telecommunications and digital technologies are now core infrastructure for economic growth, governance, and social inclusion.</w:t>
      </w:r>
    </w:p>
    <w:p w14:paraId="5AB87B81" w14:textId="43B6FEB6" w:rsidR="000F54E1" w:rsidRPr="00CD1E79" w:rsidRDefault="000F54E1" w:rsidP="000F54E1">
      <w:pPr>
        <w:pStyle w:val="ListParagraph"/>
        <w:spacing w:after="0" w:line="360" w:lineRule="auto"/>
        <w:ind w:left="360"/>
        <w:jc w:val="both"/>
        <w:rPr>
          <w:rFonts w:ascii="Tahoma" w:hAnsi="Tahoma" w:cs="Tahoma"/>
          <w:sz w:val="24"/>
          <w:szCs w:val="24"/>
        </w:rPr>
      </w:pPr>
    </w:p>
    <w:p w14:paraId="3F0A824B" w14:textId="42B883CE" w:rsidR="000F54E1" w:rsidRPr="00CD1E79" w:rsidRDefault="000F54E1" w:rsidP="000F54E1">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After the rollout of 5G services in October 2022, India has emerged as the world’s second-largest telecommunications market. At the end of 2025, data subscribers in India have reached to over one billion with 5G contributing to around 400 million, while the total wireless data usage was around 25 million terabytes with 5G contributing to over 10 million terabytes. The mobile telecom network has also expanded, and total Base Transceiver Stations (BTSs) have crossed 3.8 million with over 518 thousand 5G base stations.</w:t>
      </w:r>
    </w:p>
    <w:p w14:paraId="2FF0BC1E" w14:textId="77777777" w:rsidR="000F54E1" w:rsidRPr="00CD1E79" w:rsidRDefault="000F54E1" w:rsidP="00D74D82">
      <w:pPr>
        <w:pStyle w:val="ListParagraph"/>
        <w:spacing w:after="0" w:line="360" w:lineRule="auto"/>
        <w:ind w:left="360"/>
        <w:jc w:val="both"/>
        <w:rPr>
          <w:rFonts w:ascii="Tahoma" w:hAnsi="Tahoma" w:cs="Tahoma"/>
          <w:sz w:val="24"/>
          <w:szCs w:val="24"/>
        </w:rPr>
      </w:pPr>
    </w:p>
    <w:p w14:paraId="4C9C9D76" w14:textId="4B4EDF8F" w:rsidR="00D74D82" w:rsidRPr="00CD1E79" w:rsidRDefault="00D74D82" w:rsidP="00D74D82">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The deployment of 5G technology is transforming the telecommunications landscape. The 5G has been designed not only to connect people, but also to connect devices, machines, enterprises, and entire digital ecosystems. This shift enables a wide range of transformative applications across sectors such as smart manufacturing and industrial automation; connected healthcare and telemedicine; intelligent transport and logistics systems; smart cities and digital governance; agriculture powered by real-time data and analytics, among others.</w:t>
      </w:r>
    </w:p>
    <w:p w14:paraId="5D6539F4" w14:textId="77777777" w:rsidR="0041302D" w:rsidRPr="00CD1E79" w:rsidRDefault="0041302D" w:rsidP="0041302D">
      <w:pPr>
        <w:pStyle w:val="ListParagraph"/>
        <w:spacing w:after="0" w:line="360" w:lineRule="auto"/>
        <w:ind w:left="360"/>
        <w:jc w:val="both"/>
        <w:rPr>
          <w:rFonts w:ascii="Tahoma" w:hAnsi="Tahoma" w:cs="Tahoma"/>
          <w:sz w:val="24"/>
          <w:szCs w:val="24"/>
        </w:rPr>
      </w:pPr>
    </w:p>
    <w:p w14:paraId="680EA030" w14:textId="77777777" w:rsidR="0041302D" w:rsidRPr="00CD1E79" w:rsidRDefault="0041302D" w:rsidP="0041302D">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5G Fixed wireless access (FWA) has emerged as a useful solution for expanding broadband connectivity in the country. In regions where fibre deployment may take time, 5G FWA delivers high-speed broadband efficiently and quickly, helping bridge connectivity gaps and accelerate digital inclusion. At the end of December 2025, there were about 11 million 5G FWA subscribers. </w:t>
      </w:r>
    </w:p>
    <w:p w14:paraId="6AF5857B" w14:textId="77777777" w:rsidR="0041302D" w:rsidRPr="00CD1E79" w:rsidRDefault="0041302D" w:rsidP="0056334A">
      <w:pPr>
        <w:pStyle w:val="ListParagraph"/>
        <w:spacing w:after="0" w:line="360" w:lineRule="auto"/>
        <w:ind w:left="360"/>
        <w:jc w:val="both"/>
        <w:rPr>
          <w:rFonts w:ascii="Tahoma" w:hAnsi="Tahoma" w:cs="Tahoma"/>
          <w:sz w:val="24"/>
          <w:szCs w:val="24"/>
        </w:rPr>
      </w:pPr>
    </w:p>
    <w:p w14:paraId="6B32F5D1" w14:textId="42B6A405" w:rsidR="000F54E1" w:rsidRPr="00CD1E79" w:rsidRDefault="000F54E1" w:rsidP="002A0F06">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For the accelerated 5G expansion and for future 6G innovations, in the recent past, TRAI has provided many landmark recommendations to the Government</w:t>
      </w:r>
      <w:r w:rsidR="00214E5B" w:rsidRPr="00CD1E79">
        <w:rPr>
          <w:rFonts w:ascii="Tahoma" w:hAnsi="Tahoma" w:cs="Tahoma"/>
          <w:sz w:val="24"/>
          <w:szCs w:val="24"/>
        </w:rPr>
        <w:t>.</w:t>
      </w:r>
      <w:r w:rsidR="0056334A" w:rsidRPr="00CD1E79">
        <w:rPr>
          <w:rFonts w:ascii="Tahoma" w:hAnsi="Tahoma" w:cs="Tahoma"/>
          <w:sz w:val="24"/>
          <w:szCs w:val="24"/>
        </w:rPr>
        <w:t xml:space="preserve"> </w:t>
      </w:r>
    </w:p>
    <w:p w14:paraId="2CF021B5" w14:textId="77777777" w:rsidR="00775FDB" w:rsidRPr="00CD1E79" w:rsidRDefault="00775FDB" w:rsidP="00775FDB">
      <w:pPr>
        <w:pStyle w:val="ListParagraph"/>
        <w:rPr>
          <w:rFonts w:ascii="Tahoma" w:hAnsi="Tahoma" w:cs="Tahoma"/>
          <w:sz w:val="24"/>
          <w:szCs w:val="24"/>
        </w:rPr>
      </w:pPr>
    </w:p>
    <w:p w14:paraId="3B32F50F" w14:textId="77777777" w:rsidR="00775FDB" w:rsidRPr="00CD1E79" w:rsidRDefault="00775FDB" w:rsidP="00775FDB">
      <w:pPr>
        <w:pStyle w:val="ListParagraph"/>
        <w:spacing w:after="0" w:line="360" w:lineRule="auto"/>
        <w:ind w:left="360"/>
        <w:jc w:val="both"/>
        <w:rPr>
          <w:rFonts w:ascii="Tahoma" w:hAnsi="Tahoma" w:cs="Tahoma"/>
          <w:sz w:val="24"/>
          <w:szCs w:val="24"/>
        </w:rPr>
      </w:pPr>
    </w:p>
    <w:p w14:paraId="21D0BB08" w14:textId="2BB55EF8" w:rsidR="000F54E1" w:rsidRPr="00CD1E79" w:rsidRDefault="000F54E1" w:rsidP="00CE2F4D">
      <w:pPr>
        <w:pStyle w:val="ListParagraph"/>
        <w:numPr>
          <w:ilvl w:val="0"/>
          <w:numId w:val="49"/>
        </w:numPr>
        <w:spacing w:after="0" w:line="288" w:lineRule="auto"/>
        <w:ind w:left="426" w:hanging="426"/>
        <w:jc w:val="both"/>
        <w:rPr>
          <w:rFonts w:ascii="Tahoma" w:hAnsi="Tahoma" w:cs="Tahoma"/>
          <w:b/>
          <w:bCs/>
          <w:sz w:val="24"/>
          <w:szCs w:val="24"/>
          <w:u w:val="single"/>
        </w:rPr>
      </w:pPr>
      <w:r w:rsidRPr="00CD1E79">
        <w:rPr>
          <w:rFonts w:ascii="Tahoma" w:hAnsi="Tahoma" w:cs="Tahoma"/>
          <w:b/>
          <w:bCs/>
          <w:sz w:val="24"/>
          <w:szCs w:val="24"/>
          <w:u w:val="single"/>
        </w:rPr>
        <w:t>IMT spectrum</w:t>
      </w:r>
    </w:p>
    <w:p w14:paraId="5FA3F06E" w14:textId="77777777" w:rsidR="000F54E1" w:rsidRPr="00CD1E79" w:rsidRDefault="000F54E1" w:rsidP="000F54E1">
      <w:pPr>
        <w:spacing w:after="0" w:line="288" w:lineRule="auto"/>
        <w:jc w:val="both"/>
        <w:rPr>
          <w:rFonts w:ascii="Tahoma" w:hAnsi="Tahoma" w:cs="Tahoma"/>
          <w:sz w:val="24"/>
          <w:szCs w:val="24"/>
        </w:rPr>
      </w:pPr>
    </w:p>
    <w:p w14:paraId="2F4B9397" w14:textId="77777777" w:rsidR="000F54E1" w:rsidRPr="00CD1E79" w:rsidRDefault="000F54E1" w:rsidP="00214E5B">
      <w:pPr>
        <w:spacing w:after="0" w:line="360" w:lineRule="auto"/>
        <w:ind w:left="360"/>
        <w:jc w:val="both"/>
        <w:rPr>
          <w:rFonts w:ascii="Tahoma" w:hAnsi="Tahoma" w:cs="Tahoma"/>
          <w:sz w:val="24"/>
          <w:szCs w:val="24"/>
          <w:u w:val="single"/>
        </w:rPr>
      </w:pPr>
      <w:r w:rsidRPr="00CD1E79">
        <w:rPr>
          <w:rFonts w:ascii="Tahoma" w:hAnsi="Tahoma" w:cs="Tahoma"/>
          <w:sz w:val="24"/>
          <w:szCs w:val="24"/>
          <w:u w:val="single"/>
        </w:rPr>
        <w:t>Recommendations on the Auction of Radio Frequency Spectrum in the Frequency Bands Identified for International Mobile Telecommunications (IMT), dated 24.02.2026</w:t>
      </w:r>
    </w:p>
    <w:p w14:paraId="3609B737" w14:textId="77777777" w:rsidR="00214E5B" w:rsidRPr="00CD1E79" w:rsidRDefault="00214E5B" w:rsidP="00214E5B">
      <w:pPr>
        <w:spacing w:after="0" w:line="360" w:lineRule="auto"/>
        <w:ind w:left="360"/>
        <w:jc w:val="both"/>
        <w:rPr>
          <w:rFonts w:ascii="Tahoma" w:hAnsi="Tahoma" w:cs="Tahoma"/>
          <w:sz w:val="24"/>
          <w:szCs w:val="24"/>
          <w:u w:val="single"/>
        </w:rPr>
      </w:pPr>
    </w:p>
    <w:p w14:paraId="0169C35A" w14:textId="041FF763" w:rsidR="000F54E1" w:rsidRPr="00CD1E79" w:rsidRDefault="000F54E1" w:rsidP="00214E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Spectrum is the foundational resource that underpins the entire wireless ecosystem. As networks evolve towards 6G, spectrum policy must anticipate future technological needs while ensuring efficient and equitable utilisation. For meeting the requirement of IMT spectrum, TRAI in February 2026 has recommended to put entire available spectrum in the 600 MHz band and other existing IMT bands in the forthcoming IMT spectrum auction. </w:t>
      </w:r>
    </w:p>
    <w:p w14:paraId="48417A0F" w14:textId="77777777" w:rsidR="00751A11" w:rsidRPr="00CD1E79" w:rsidRDefault="00751A11" w:rsidP="00751A11">
      <w:pPr>
        <w:spacing w:after="0" w:line="360" w:lineRule="auto"/>
        <w:jc w:val="both"/>
        <w:rPr>
          <w:rFonts w:ascii="Tahoma" w:hAnsi="Tahoma" w:cs="Tahoma"/>
          <w:sz w:val="24"/>
          <w:szCs w:val="24"/>
        </w:rPr>
      </w:pPr>
    </w:p>
    <w:p w14:paraId="3B5A64FC" w14:textId="43C1B7D5" w:rsidR="00751A11" w:rsidRPr="00CD1E79" w:rsidRDefault="00751A11" w:rsidP="00CE2F4D">
      <w:pPr>
        <w:pStyle w:val="ListParagraph"/>
        <w:numPr>
          <w:ilvl w:val="0"/>
          <w:numId w:val="49"/>
        </w:numPr>
        <w:spacing w:after="0" w:line="288" w:lineRule="auto"/>
        <w:ind w:left="426" w:hanging="426"/>
        <w:jc w:val="both"/>
        <w:rPr>
          <w:rFonts w:ascii="Tahoma" w:hAnsi="Tahoma" w:cs="Tahoma"/>
          <w:b/>
          <w:bCs/>
          <w:sz w:val="24"/>
          <w:szCs w:val="24"/>
          <w:u w:val="single"/>
        </w:rPr>
      </w:pPr>
      <w:r w:rsidRPr="00CD1E79">
        <w:rPr>
          <w:rFonts w:ascii="Tahoma" w:hAnsi="Tahoma" w:cs="Tahoma"/>
          <w:b/>
          <w:bCs/>
          <w:sz w:val="24"/>
          <w:szCs w:val="24"/>
          <w:u w:val="single"/>
        </w:rPr>
        <w:t>Spectrum Sharing and Leasing</w:t>
      </w:r>
    </w:p>
    <w:p w14:paraId="1AD377FF" w14:textId="77777777" w:rsidR="00751A11" w:rsidRPr="00CD1E79" w:rsidRDefault="00751A11" w:rsidP="00751A11">
      <w:pPr>
        <w:pStyle w:val="ListParagraph"/>
        <w:spacing w:after="0" w:line="288" w:lineRule="auto"/>
        <w:ind w:left="360"/>
        <w:jc w:val="both"/>
        <w:rPr>
          <w:rFonts w:ascii="Tahoma" w:hAnsi="Tahoma" w:cs="Tahoma"/>
          <w:b/>
          <w:bCs/>
          <w:sz w:val="24"/>
          <w:szCs w:val="24"/>
          <w:u w:val="single"/>
        </w:rPr>
      </w:pPr>
    </w:p>
    <w:p w14:paraId="2EDECD76" w14:textId="53E4205B" w:rsidR="00751A11" w:rsidRPr="00CD1E79" w:rsidRDefault="00D02D47" w:rsidP="00D02D47">
      <w:pPr>
        <w:pStyle w:val="ListParagraph"/>
        <w:spacing w:after="0" w:line="360" w:lineRule="auto"/>
        <w:ind w:left="360"/>
        <w:jc w:val="both"/>
        <w:rPr>
          <w:rFonts w:ascii="Tahoma" w:hAnsi="Tahoma" w:cs="Tahoma"/>
          <w:sz w:val="24"/>
          <w:szCs w:val="24"/>
          <w:u w:val="single"/>
        </w:rPr>
      </w:pPr>
      <w:r w:rsidRPr="00CD1E79">
        <w:rPr>
          <w:rFonts w:ascii="Tahoma" w:hAnsi="Tahoma" w:cs="Tahoma"/>
          <w:sz w:val="24"/>
          <w:szCs w:val="24"/>
          <w:u w:val="single"/>
        </w:rPr>
        <w:t>Recommendations on Telecommunication Infrastructure Sharing, Spectrum Sharing and Spectrum Leasing, dated 24.04.2024</w:t>
      </w:r>
    </w:p>
    <w:p w14:paraId="0E6EB8A6" w14:textId="77777777" w:rsidR="00D02D47" w:rsidRPr="00CD1E79" w:rsidRDefault="00D02D47" w:rsidP="00D02D47">
      <w:pPr>
        <w:pStyle w:val="ListParagraph"/>
        <w:spacing w:after="0" w:line="360" w:lineRule="auto"/>
        <w:ind w:left="360"/>
        <w:jc w:val="both"/>
        <w:rPr>
          <w:rFonts w:ascii="Tahoma" w:hAnsi="Tahoma" w:cs="Tahoma"/>
          <w:sz w:val="24"/>
          <w:szCs w:val="24"/>
        </w:rPr>
      </w:pPr>
    </w:p>
    <w:p w14:paraId="208A64B7" w14:textId="7CFC90D8" w:rsidR="00751A11" w:rsidRPr="00CD1E79" w:rsidRDefault="00751A11" w:rsidP="00751A11">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TRAI has promoted optimal use of spectrum through refarming of frequency bands, carrier aggregation, and technology-neutral allocations. TRAI, in April 2024 through the recommendations </w:t>
      </w:r>
      <w:r w:rsidR="001902CF" w:rsidRPr="00CD1E79">
        <w:rPr>
          <w:rFonts w:ascii="Tahoma" w:hAnsi="Tahoma" w:cs="Tahoma"/>
          <w:sz w:val="24"/>
          <w:szCs w:val="24"/>
        </w:rPr>
        <w:t xml:space="preserve">with respect to </w:t>
      </w:r>
      <w:r w:rsidR="00517449" w:rsidRPr="00CD1E79">
        <w:rPr>
          <w:rFonts w:ascii="Tahoma" w:hAnsi="Tahoma" w:cs="Tahoma"/>
          <w:sz w:val="24"/>
          <w:szCs w:val="24"/>
        </w:rPr>
        <w:t>i</w:t>
      </w:r>
      <w:r w:rsidRPr="00CD1E79">
        <w:rPr>
          <w:rFonts w:ascii="Tahoma" w:hAnsi="Tahoma" w:cs="Tahoma"/>
          <w:sz w:val="24"/>
          <w:szCs w:val="24"/>
        </w:rPr>
        <w:t xml:space="preserve">nfrastructure </w:t>
      </w:r>
      <w:r w:rsidR="00517449" w:rsidRPr="00CD1E79">
        <w:rPr>
          <w:rFonts w:ascii="Tahoma" w:hAnsi="Tahoma" w:cs="Tahoma"/>
          <w:sz w:val="24"/>
          <w:szCs w:val="24"/>
        </w:rPr>
        <w:t>s</w:t>
      </w:r>
      <w:r w:rsidRPr="00CD1E79">
        <w:rPr>
          <w:rFonts w:ascii="Tahoma" w:hAnsi="Tahoma" w:cs="Tahoma"/>
          <w:sz w:val="24"/>
          <w:szCs w:val="24"/>
        </w:rPr>
        <w:t>haring</w:t>
      </w:r>
      <w:r w:rsidR="001902CF" w:rsidRPr="00CD1E79">
        <w:rPr>
          <w:rFonts w:ascii="Tahoma" w:hAnsi="Tahoma" w:cs="Tahoma"/>
          <w:sz w:val="24"/>
          <w:szCs w:val="24"/>
        </w:rPr>
        <w:t xml:space="preserve">, and </w:t>
      </w:r>
      <w:r w:rsidR="00517449" w:rsidRPr="00CD1E79">
        <w:rPr>
          <w:rFonts w:ascii="Tahoma" w:hAnsi="Tahoma" w:cs="Tahoma"/>
          <w:sz w:val="24"/>
          <w:szCs w:val="24"/>
        </w:rPr>
        <w:t>s</w:t>
      </w:r>
      <w:r w:rsidRPr="00CD1E79">
        <w:rPr>
          <w:rFonts w:ascii="Tahoma" w:hAnsi="Tahoma" w:cs="Tahoma"/>
          <w:sz w:val="24"/>
          <w:szCs w:val="24"/>
        </w:rPr>
        <w:t xml:space="preserve">pectrum </w:t>
      </w:r>
      <w:r w:rsidR="001902CF" w:rsidRPr="00CD1E79">
        <w:rPr>
          <w:rFonts w:ascii="Tahoma" w:hAnsi="Tahoma" w:cs="Tahoma"/>
          <w:sz w:val="24"/>
          <w:szCs w:val="24"/>
        </w:rPr>
        <w:t>s</w:t>
      </w:r>
      <w:r w:rsidRPr="00CD1E79">
        <w:rPr>
          <w:rFonts w:ascii="Tahoma" w:hAnsi="Tahoma" w:cs="Tahoma"/>
          <w:sz w:val="24"/>
          <w:szCs w:val="24"/>
        </w:rPr>
        <w:t xml:space="preserve">haring and </w:t>
      </w:r>
      <w:r w:rsidR="001902CF" w:rsidRPr="00CD1E79">
        <w:rPr>
          <w:rFonts w:ascii="Tahoma" w:hAnsi="Tahoma" w:cs="Tahoma"/>
          <w:sz w:val="24"/>
          <w:szCs w:val="24"/>
        </w:rPr>
        <w:t>l</w:t>
      </w:r>
      <w:r w:rsidRPr="00CD1E79">
        <w:rPr>
          <w:rFonts w:ascii="Tahoma" w:hAnsi="Tahoma" w:cs="Tahoma"/>
          <w:sz w:val="24"/>
          <w:szCs w:val="24"/>
        </w:rPr>
        <w:t xml:space="preserve">easing recommended inter-band access spectrum sharing and leasing of access spectrum. These measures are for more agile frameworks and provides flexibility that enable shared access models. These recommendations have been incorporated in the draft Telecommunications (Sharing, Trading and Leasing of Spectrum) Rules, 2025, reflecting a shift toward more flexible and market-driven spectrum management. In addition, TRAI also recommended to explore authorized shared access (ASA) based spectrum sharing, under which, the spectrum assigned </w:t>
      </w:r>
      <w:r w:rsidRPr="00CD1E79">
        <w:rPr>
          <w:rFonts w:ascii="Tahoma" w:hAnsi="Tahoma" w:cs="Tahoma"/>
          <w:sz w:val="24"/>
          <w:szCs w:val="24"/>
        </w:rPr>
        <w:lastRenderedPageBreak/>
        <w:t>to Government agencies or other entities (non-TSPs) in the globally harmonized spectrum bands for IMT services, can be assigned to access service providers as secondary users.</w:t>
      </w:r>
    </w:p>
    <w:p w14:paraId="51780FB6" w14:textId="77777777" w:rsidR="000F54E1" w:rsidRPr="00CD1E79" w:rsidRDefault="000F54E1" w:rsidP="000F54E1">
      <w:pPr>
        <w:spacing w:after="0" w:line="288" w:lineRule="auto"/>
        <w:jc w:val="both"/>
        <w:rPr>
          <w:rFonts w:ascii="Tahoma" w:hAnsi="Tahoma" w:cs="Tahoma"/>
          <w:sz w:val="24"/>
          <w:szCs w:val="24"/>
        </w:rPr>
      </w:pPr>
    </w:p>
    <w:p w14:paraId="05FFA5EB" w14:textId="77777777" w:rsidR="000F54E1" w:rsidRPr="00CD1E79" w:rsidRDefault="000F54E1" w:rsidP="00CE2F4D">
      <w:pPr>
        <w:pStyle w:val="ListParagraph"/>
        <w:numPr>
          <w:ilvl w:val="0"/>
          <w:numId w:val="49"/>
        </w:numPr>
        <w:spacing w:after="0" w:line="288" w:lineRule="auto"/>
        <w:ind w:left="426" w:hanging="426"/>
        <w:jc w:val="both"/>
        <w:rPr>
          <w:rFonts w:ascii="Tahoma" w:hAnsi="Tahoma" w:cs="Tahoma"/>
          <w:b/>
          <w:bCs/>
          <w:sz w:val="24"/>
          <w:szCs w:val="24"/>
          <w:u w:val="single"/>
        </w:rPr>
      </w:pPr>
      <w:r w:rsidRPr="00CD1E79">
        <w:rPr>
          <w:rFonts w:ascii="Tahoma" w:hAnsi="Tahoma" w:cs="Tahoma"/>
          <w:b/>
          <w:bCs/>
          <w:sz w:val="24"/>
          <w:szCs w:val="24"/>
          <w:u w:val="single"/>
        </w:rPr>
        <w:t>Wireless Backhaul Spectrum</w:t>
      </w:r>
    </w:p>
    <w:p w14:paraId="3B8CDD6C" w14:textId="77777777" w:rsidR="000F54E1" w:rsidRPr="00CD1E79" w:rsidRDefault="000F54E1" w:rsidP="000F54E1">
      <w:pPr>
        <w:spacing w:after="0" w:line="288" w:lineRule="auto"/>
        <w:jc w:val="both"/>
        <w:rPr>
          <w:rFonts w:ascii="Tahoma" w:hAnsi="Tahoma" w:cs="Tahoma"/>
          <w:sz w:val="24"/>
          <w:szCs w:val="24"/>
        </w:rPr>
      </w:pPr>
    </w:p>
    <w:p w14:paraId="261742CA" w14:textId="64FAE7D0" w:rsidR="000F54E1" w:rsidRPr="00CD1E79" w:rsidRDefault="000F54E1" w:rsidP="00771CEC">
      <w:pPr>
        <w:spacing w:after="0" w:line="360" w:lineRule="auto"/>
        <w:ind w:left="360"/>
        <w:jc w:val="both"/>
        <w:rPr>
          <w:rFonts w:ascii="Tahoma" w:hAnsi="Tahoma" w:cs="Tahoma"/>
          <w:sz w:val="24"/>
          <w:szCs w:val="24"/>
          <w:u w:val="single"/>
        </w:rPr>
      </w:pPr>
      <w:r w:rsidRPr="00CD1E79">
        <w:rPr>
          <w:rFonts w:ascii="Tahoma" w:hAnsi="Tahoma" w:cs="Tahoma"/>
          <w:sz w:val="24"/>
          <w:szCs w:val="24"/>
          <w:u w:val="single"/>
        </w:rPr>
        <w:t>Recommendations on the Assignment of the Microwave Spectrum in 6 GHz (lower), 7 GHz, 13 GHz, 15 GHz, 18 GHz, 21 GHz Bands, E-Band, and V-Band</w:t>
      </w:r>
      <w:r w:rsidR="00771CEC" w:rsidRPr="00CD1E79">
        <w:rPr>
          <w:rFonts w:ascii="Tahoma" w:hAnsi="Tahoma" w:cs="Tahoma"/>
          <w:sz w:val="24"/>
          <w:szCs w:val="24"/>
          <w:u w:val="single"/>
        </w:rPr>
        <w:t>,</w:t>
      </w:r>
      <w:r w:rsidRPr="00CD1E79">
        <w:rPr>
          <w:rFonts w:ascii="Tahoma" w:hAnsi="Tahoma" w:cs="Tahoma"/>
          <w:sz w:val="24"/>
          <w:szCs w:val="24"/>
          <w:u w:val="single"/>
        </w:rPr>
        <w:t xml:space="preserve"> dated 10.12.2025</w:t>
      </w:r>
    </w:p>
    <w:p w14:paraId="76E04F18" w14:textId="77777777" w:rsidR="00771CEC" w:rsidRPr="00CD1E79" w:rsidRDefault="00771CEC" w:rsidP="00771CEC">
      <w:pPr>
        <w:pStyle w:val="ListParagraph"/>
        <w:spacing w:after="0" w:line="360" w:lineRule="auto"/>
        <w:ind w:left="360"/>
        <w:jc w:val="both"/>
        <w:rPr>
          <w:rFonts w:ascii="Tahoma" w:hAnsi="Tahoma" w:cs="Tahoma"/>
          <w:sz w:val="24"/>
          <w:szCs w:val="24"/>
        </w:rPr>
      </w:pPr>
    </w:p>
    <w:p w14:paraId="656A0EF4" w14:textId="74AAFF5B" w:rsidR="000F54E1" w:rsidRPr="00CD1E79" w:rsidRDefault="000F54E1" w:rsidP="00771CEC">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To strengthen backhaul infrastructure, TRAI in December 2025 recommended policy framework for the assignment of wireless backhaul spectrum. This aims to remove network bottlenecks, expand high capacity backhaul, and support 5G expansion in rural and semi-urban areas, improving overall service quality. Through these recommendations, the V-band (57-66 GHz) </w:t>
      </w:r>
      <w:r w:rsidR="00AE67CD" w:rsidRPr="00CD1E79">
        <w:rPr>
          <w:rFonts w:ascii="Tahoma" w:hAnsi="Tahoma" w:cs="Tahoma"/>
          <w:sz w:val="24"/>
          <w:szCs w:val="24"/>
        </w:rPr>
        <w:t xml:space="preserve">has been </w:t>
      </w:r>
      <w:r w:rsidRPr="00CD1E79">
        <w:rPr>
          <w:rFonts w:ascii="Tahoma" w:hAnsi="Tahoma" w:cs="Tahoma"/>
          <w:sz w:val="24"/>
          <w:szCs w:val="24"/>
        </w:rPr>
        <w:t xml:space="preserve">recommended to be made available for radio backhaul </w:t>
      </w:r>
      <w:r w:rsidR="00AE67CD" w:rsidRPr="00CD1E79">
        <w:rPr>
          <w:rFonts w:ascii="Tahoma" w:hAnsi="Tahoma" w:cs="Tahoma"/>
          <w:sz w:val="24"/>
          <w:szCs w:val="24"/>
        </w:rPr>
        <w:t>purpose</w:t>
      </w:r>
      <w:r w:rsidR="00B1185B" w:rsidRPr="00CD1E79">
        <w:rPr>
          <w:rFonts w:ascii="Tahoma" w:hAnsi="Tahoma" w:cs="Tahoma"/>
          <w:sz w:val="24"/>
          <w:szCs w:val="24"/>
        </w:rPr>
        <w:t xml:space="preserve"> for the first time</w:t>
      </w:r>
      <w:r w:rsidRPr="00CD1E79">
        <w:rPr>
          <w:rFonts w:ascii="Tahoma" w:hAnsi="Tahoma" w:cs="Tahoma"/>
          <w:sz w:val="24"/>
          <w:szCs w:val="24"/>
        </w:rPr>
        <w:t>. Further, in parallel to the licensed use for radio backhaul in the V-band, license-exempt usage for both low-power indoor and very low-power outdoor usage on a non-interference, non-protection, and shared (non-exclusive) basis has also been recommended.</w:t>
      </w:r>
    </w:p>
    <w:p w14:paraId="3599C49C" w14:textId="77777777" w:rsidR="000F54E1" w:rsidRPr="00CD1E79" w:rsidRDefault="000F54E1" w:rsidP="000F54E1">
      <w:pPr>
        <w:spacing w:after="0" w:line="288" w:lineRule="auto"/>
        <w:jc w:val="both"/>
        <w:rPr>
          <w:rFonts w:ascii="Tahoma" w:hAnsi="Tahoma" w:cs="Tahoma"/>
          <w:sz w:val="24"/>
          <w:szCs w:val="24"/>
        </w:rPr>
      </w:pPr>
    </w:p>
    <w:p w14:paraId="5D26BF0B" w14:textId="77777777" w:rsidR="000F54E1" w:rsidRPr="00CD1E79" w:rsidRDefault="000F54E1" w:rsidP="00CE2F4D">
      <w:pPr>
        <w:pStyle w:val="ListParagraph"/>
        <w:numPr>
          <w:ilvl w:val="0"/>
          <w:numId w:val="49"/>
        </w:numPr>
        <w:spacing w:after="0" w:line="288" w:lineRule="auto"/>
        <w:ind w:left="426" w:hanging="426"/>
        <w:jc w:val="both"/>
        <w:rPr>
          <w:rFonts w:ascii="Tahoma" w:hAnsi="Tahoma" w:cs="Tahoma"/>
          <w:b/>
          <w:bCs/>
          <w:sz w:val="24"/>
          <w:szCs w:val="24"/>
          <w:u w:val="single"/>
        </w:rPr>
      </w:pPr>
      <w:r w:rsidRPr="00CD1E79">
        <w:rPr>
          <w:rFonts w:ascii="Tahoma" w:hAnsi="Tahoma" w:cs="Tahoma"/>
          <w:b/>
          <w:bCs/>
          <w:sz w:val="24"/>
          <w:szCs w:val="24"/>
          <w:u w:val="single"/>
        </w:rPr>
        <w:t>Authorisation Framework under the Telecommunications Act, 2023</w:t>
      </w:r>
    </w:p>
    <w:p w14:paraId="327BF053" w14:textId="77777777" w:rsidR="000F54E1" w:rsidRPr="00CD1E79" w:rsidRDefault="000F54E1" w:rsidP="000F54E1">
      <w:pPr>
        <w:spacing w:after="0" w:line="288" w:lineRule="auto"/>
        <w:jc w:val="both"/>
        <w:rPr>
          <w:rFonts w:ascii="Tahoma" w:hAnsi="Tahoma" w:cs="Tahoma"/>
          <w:sz w:val="24"/>
          <w:szCs w:val="24"/>
        </w:rPr>
      </w:pPr>
    </w:p>
    <w:p w14:paraId="6796409B" w14:textId="1198BA1E" w:rsidR="00BC3827" w:rsidRPr="00CD1E79" w:rsidRDefault="00BC3827" w:rsidP="00BC3827">
      <w:pPr>
        <w:spacing w:after="0" w:line="360" w:lineRule="auto"/>
        <w:ind w:left="360"/>
        <w:jc w:val="both"/>
        <w:rPr>
          <w:rFonts w:ascii="Tahoma" w:hAnsi="Tahoma" w:cs="Tahoma"/>
          <w:sz w:val="24"/>
          <w:szCs w:val="24"/>
        </w:rPr>
      </w:pPr>
      <w:r w:rsidRPr="00CD1E79">
        <w:rPr>
          <w:rFonts w:ascii="Tahoma" w:hAnsi="Tahoma" w:cs="Tahoma"/>
          <w:sz w:val="24"/>
          <w:szCs w:val="24"/>
          <w:u w:val="single"/>
        </w:rPr>
        <w:t>Recommendations on the “Framework for Service Authorisations to be Granted Under the Telecommunications Act, 2023”, dated 18.09.2024</w:t>
      </w:r>
      <w:r w:rsidRPr="00CD1E79">
        <w:rPr>
          <w:rFonts w:ascii="Tahoma" w:hAnsi="Tahoma" w:cs="Tahoma"/>
          <w:sz w:val="24"/>
          <w:szCs w:val="24"/>
        </w:rPr>
        <w:t>, and</w:t>
      </w:r>
    </w:p>
    <w:p w14:paraId="356B9E16" w14:textId="77777777" w:rsidR="00BC3827" w:rsidRPr="00CD1E79" w:rsidRDefault="00BC3827" w:rsidP="00BC3827">
      <w:pPr>
        <w:spacing w:after="0" w:line="360" w:lineRule="auto"/>
        <w:ind w:left="360"/>
        <w:jc w:val="both"/>
        <w:rPr>
          <w:rFonts w:ascii="Tahoma" w:hAnsi="Tahoma" w:cs="Tahoma"/>
          <w:sz w:val="24"/>
          <w:szCs w:val="24"/>
          <w:u w:val="single"/>
        </w:rPr>
      </w:pPr>
      <w:r w:rsidRPr="00CD1E79">
        <w:rPr>
          <w:rFonts w:ascii="Tahoma" w:hAnsi="Tahoma" w:cs="Tahoma"/>
          <w:sz w:val="24"/>
          <w:szCs w:val="24"/>
          <w:u w:val="single"/>
        </w:rPr>
        <w:t>Recommendations on the Terms and Conditions of Network Authorisations to be Granted Under the Telecommunications Act, 2023, dated 17.02.2025</w:t>
      </w:r>
    </w:p>
    <w:p w14:paraId="3484D96F" w14:textId="77777777" w:rsidR="00BC3827" w:rsidRPr="00CD1E79" w:rsidRDefault="00BC3827" w:rsidP="00BC3827">
      <w:pPr>
        <w:pStyle w:val="ListParagraph"/>
        <w:spacing w:after="0" w:line="360" w:lineRule="auto"/>
        <w:ind w:left="360"/>
        <w:jc w:val="both"/>
        <w:rPr>
          <w:rFonts w:ascii="Tahoma" w:hAnsi="Tahoma" w:cs="Tahoma"/>
          <w:sz w:val="24"/>
          <w:szCs w:val="24"/>
        </w:rPr>
      </w:pPr>
    </w:p>
    <w:p w14:paraId="57BF6622" w14:textId="6C28CE41" w:rsidR="000F54E1" w:rsidRPr="00CD1E79" w:rsidRDefault="000F54E1" w:rsidP="006335AC">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With the enactment of the Telecommunications Act, 2023, India is moving towards authorisation frameworks</w:t>
      </w:r>
      <w:r w:rsidR="00BC3827" w:rsidRPr="00CD1E79">
        <w:rPr>
          <w:rFonts w:ascii="Tahoma" w:hAnsi="Tahoma" w:cs="Tahoma"/>
          <w:sz w:val="24"/>
          <w:szCs w:val="24"/>
        </w:rPr>
        <w:t xml:space="preserve">. For this purpose, TRAI </w:t>
      </w:r>
      <w:r w:rsidRPr="00CD1E79">
        <w:rPr>
          <w:rFonts w:ascii="Tahoma" w:hAnsi="Tahoma" w:cs="Tahoma"/>
          <w:sz w:val="24"/>
          <w:szCs w:val="24"/>
        </w:rPr>
        <w:t>has made recommendations</w:t>
      </w:r>
      <w:r w:rsidR="00BC3827" w:rsidRPr="00CD1E79">
        <w:rPr>
          <w:rFonts w:ascii="Tahoma" w:hAnsi="Tahoma" w:cs="Tahoma"/>
          <w:sz w:val="24"/>
          <w:szCs w:val="24"/>
        </w:rPr>
        <w:t xml:space="preserve"> for the </w:t>
      </w:r>
      <w:r w:rsidR="00DE3D42" w:rsidRPr="00CD1E79">
        <w:rPr>
          <w:rFonts w:ascii="Tahoma" w:hAnsi="Tahoma" w:cs="Tahoma"/>
          <w:sz w:val="24"/>
          <w:szCs w:val="24"/>
        </w:rPr>
        <w:t>service authorisations and network authorisations</w:t>
      </w:r>
      <w:r w:rsidRPr="00CD1E79">
        <w:rPr>
          <w:rFonts w:ascii="Tahoma" w:hAnsi="Tahoma" w:cs="Tahoma"/>
          <w:sz w:val="24"/>
          <w:szCs w:val="24"/>
        </w:rPr>
        <w:t xml:space="preserve"> to the Government. </w:t>
      </w:r>
      <w:r w:rsidR="00407E79" w:rsidRPr="00CD1E79">
        <w:rPr>
          <w:rFonts w:ascii="Tahoma" w:hAnsi="Tahoma" w:cs="Tahoma"/>
          <w:sz w:val="24"/>
          <w:szCs w:val="24"/>
        </w:rPr>
        <w:t>The</w:t>
      </w:r>
      <w:r w:rsidR="006335AC" w:rsidRPr="00CD1E79">
        <w:rPr>
          <w:rFonts w:ascii="Tahoma" w:hAnsi="Tahoma" w:cs="Tahoma"/>
          <w:sz w:val="24"/>
          <w:szCs w:val="24"/>
        </w:rPr>
        <w:t xml:space="preserve"> authorisation framework provides</w:t>
      </w:r>
      <w:r w:rsidR="00407E79" w:rsidRPr="00CD1E79">
        <w:rPr>
          <w:rFonts w:ascii="Tahoma" w:hAnsi="Tahoma" w:cs="Tahoma"/>
          <w:sz w:val="24"/>
          <w:szCs w:val="24"/>
        </w:rPr>
        <w:t xml:space="preserve"> a streamlined and transparent framework for granting permissions to establish telecom networks and deliver telecom services </w:t>
      </w:r>
      <w:r w:rsidR="00407E79" w:rsidRPr="00CD1E79">
        <w:rPr>
          <w:rFonts w:ascii="Tahoma" w:hAnsi="Tahoma" w:cs="Tahoma"/>
          <w:sz w:val="24"/>
          <w:szCs w:val="24"/>
        </w:rPr>
        <w:lastRenderedPageBreak/>
        <w:t>while ensuring regulatory oversight, security, and efficient use of resources.</w:t>
      </w:r>
      <w:r w:rsidR="006335AC" w:rsidRPr="00CD1E79">
        <w:rPr>
          <w:rFonts w:ascii="Tahoma" w:hAnsi="Tahoma" w:cs="Tahoma"/>
          <w:sz w:val="24"/>
          <w:szCs w:val="24"/>
        </w:rPr>
        <w:t xml:space="preserve"> These recommendations are </w:t>
      </w:r>
      <w:r w:rsidRPr="00CD1E79">
        <w:rPr>
          <w:rFonts w:ascii="Tahoma" w:hAnsi="Tahoma" w:cs="Tahoma"/>
          <w:sz w:val="24"/>
          <w:szCs w:val="24"/>
        </w:rPr>
        <w:t>aimed at a significant revamp of the existing telecommunication licensing regime and at fostering growth and enhancing ease of doing business in the sector.</w:t>
      </w:r>
    </w:p>
    <w:p w14:paraId="64BE1937" w14:textId="77777777" w:rsidR="000F54E1" w:rsidRPr="00CD1E79" w:rsidRDefault="000F54E1" w:rsidP="000F54E1">
      <w:pPr>
        <w:spacing w:after="0" w:line="288" w:lineRule="auto"/>
        <w:jc w:val="both"/>
        <w:rPr>
          <w:rFonts w:ascii="Tahoma" w:hAnsi="Tahoma" w:cs="Tahoma"/>
          <w:sz w:val="24"/>
          <w:szCs w:val="24"/>
          <w:u w:val="single"/>
        </w:rPr>
      </w:pPr>
    </w:p>
    <w:p w14:paraId="02B697E5" w14:textId="2EB15EA3" w:rsidR="000F54E1" w:rsidRPr="00CD1E79" w:rsidRDefault="000F54E1" w:rsidP="00CE2F4D">
      <w:pPr>
        <w:pStyle w:val="ListParagraph"/>
        <w:numPr>
          <w:ilvl w:val="0"/>
          <w:numId w:val="49"/>
        </w:numPr>
        <w:spacing w:after="0" w:line="288" w:lineRule="auto"/>
        <w:ind w:left="426" w:hanging="426"/>
        <w:jc w:val="both"/>
        <w:rPr>
          <w:rFonts w:ascii="Tahoma" w:hAnsi="Tahoma" w:cs="Tahoma"/>
          <w:b/>
          <w:bCs/>
          <w:sz w:val="24"/>
          <w:szCs w:val="24"/>
          <w:u w:val="single"/>
        </w:rPr>
      </w:pPr>
      <w:r w:rsidRPr="00CD1E79">
        <w:rPr>
          <w:rFonts w:ascii="Tahoma" w:hAnsi="Tahoma" w:cs="Tahoma"/>
          <w:b/>
          <w:bCs/>
          <w:sz w:val="24"/>
          <w:szCs w:val="24"/>
          <w:u w:val="single"/>
        </w:rPr>
        <w:t>Machine-to-Machine Communication</w:t>
      </w:r>
      <w:r w:rsidR="00214636">
        <w:rPr>
          <w:rFonts w:ascii="Tahoma" w:hAnsi="Tahoma" w:cs="Tahoma"/>
          <w:b/>
          <w:bCs/>
          <w:sz w:val="24"/>
          <w:szCs w:val="24"/>
          <w:u w:val="single"/>
        </w:rPr>
        <w:t>s and IoT</w:t>
      </w:r>
    </w:p>
    <w:p w14:paraId="31EDEF07" w14:textId="77777777" w:rsidR="000F54E1" w:rsidRPr="00CD1E79" w:rsidRDefault="000F54E1" w:rsidP="000F54E1">
      <w:pPr>
        <w:spacing w:after="0" w:line="288" w:lineRule="auto"/>
        <w:jc w:val="both"/>
        <w:rPr>
          <w:rFonts w:ascii="Tahoma" w:hAnsi="Tahoma" w:cs="Tahoma"/>
          <w:b/>
          <w:bCs/>
          <w:sz w:val="24"/>
          <w:szCs w:val="24"/>
        </w:rPr>
      </w:pPr>
    </w:p>
    <w:p w14:paraId="0FF7BA49" w14:textId="77777777" w:rsidR="000F54E1" w:rsidRPr="00CD1E79" w:rsidRDefault="000F54E1" w:rsidP="00B118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Globally, Machine-to-Machine (M2M) communications and the Internet of Things (IoT) are transforming sectors. M2M are becoming the neural network of an intelligent world where devices connect seamlessly, and industries evolve through data-driven automation. Considering the impact M2M can make, TRAI has made several landmark recommendations for enabling a forward-looking regulatory framework for M2M communications in the country. </w:t>
      </w:r>
    </w:p>
    <w:p w14:paraId="2DB24BBA" w14:textId="77777777" w:rsidR="000F54E1" w:rsidRPr="00CD1E79" w:rsidRDefault="000F54E1" w:rsidP="000F54E1">
      <w:pPr>
        <w:spacing w:after="0" w:line="288" w:lineRule="auto"/>
        <w:jc w:val="both"/>
        <w:rPr>
          <w:rFonts w:ascii="Tahoma" w:eastAsia="Aptos" w:hAnsi="Tahoma" w:cs="Tahoma"/>
          <w:sz w:val="24"/>
          <w:szCs w:val="24"/>
          <w:u w:val="single"/>
        </w:rPr>
      </w:pPr>
    </w:p>
    <w:p w14:paraId="2C0FE3CE" w14:textId="77777777" w:rsidR="000F54E1" w:rsidRPr="00CD1E79" w:rsidRDefault="000F54E1" w:rsidP="006B2E72">
      <w:pPr>
        <w:spacing w:after="0" w:line="360" w:lineRule="auto"/>
        <w:ind w:left="360"/>
        <w:jc w:val="both"/>
        <w:rPr>
          <w:rFonts w:ascii="Tahoma" w:eastAsia="Aptos" w:hAnsi="Tahoma" w:cs="Tahoma"/>
          <w:sz w:val="24"/>
          <w:szCs w:val="24"/>
        </w:rPr>
      </w:pPr>
      <w:r w:rsidRPr="00CD1E79">
        <w:rPr>
          <w:rFonts w:ascii="Tahoma" w:eastAsia="Aptos" w:hAnsi="Tahoma" w:cs="Tahoma"/>
          <w:sz w:val="24"/>
          <w:szCs w:val="24"/>
          <w:u w:val="single"/>
        </w:rPr>
        <w:t>Recommendations on the Usage of Embedded SIM for M2M Communications”, dated 21.</w:t>
      </w:r>
      <w:r w:rsidRPr="00CD1E79">
        <w:rPr>
          <w:rFonts w:ascii="Tahoma" w:hAnsi="Tahoma" w:cs="Tahoma"/>
          <w:sz w:val="24"/>
          <w:szCs w:val="24"/>
          <w:u w:val="single"/>
        </w:rPr>
        <w:t>03</w:t>
      </w:r>
      <w:r w:rsidRPr="00CD1E79">
        <w:rPr>
          <w:rFonts w:ascii="Tahoma" w:eastAsia="Aptos" w:hAnsi="Tahoma" w:cs="Tahoma"/>
          <w:sz w:val="24"/>
          <w:szCs w:val="24"/>
          <w:u w:val="single"/>
        </w:rPr>
        <w:t>.2024</w:t>
      </w:r>
      <w:r w:rsidRPr="00CD1E79">
        <w:rPr>
          <w:rFonts w:ascii="Tahoma" w:eastAsia="Aptos" w:hAnsi="Tahoma" w:cs="Tahoma"/>
          <w:sz w:val="24"/>
          <w:szCs w:val="24"/>
        </w:rPr>
        <w:t xml:space="preserve">: </w:t>
      </w:r>
    </w:p>
    <w:p w14:paraId="7856B9AD" w14:textId="77777777" w:rsidR="000C282C" w:rsidRPr="00CD1E79" w:rsidRDefault="000C282C" w:rsidP="006B2E72">
      <w:pPr>
        <w:spacing w:after="0" w:line="360" w:lineRule="auto"/>
        <w:ind w:left="360"/>
        <w:jc w:val="both"/>
        <w:rPr>
          <w:rFonts w:ascii="Tahoma" w:eastAsia="Aptos" w:hAnsi="Tahoma" w:cs="Tahoma"/>
          <w:sz w:val="24"/>
          <w:szCs w:val="24"/>
        </w:rPr>
      </w:pPr>
    </w:p>
    <w:p w14:paraId="78A32961" w14:textId="77777777" w:rsidR="000F54E1" w:rsidRPr="00CD1E79" w:rsidRDefault="000F54E1" w:rsidP="00B118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Through these recommendations, TRAI recommended an enabling framework for profile switching of embedded SIMs (</w:t>
      </w:r>
      <w:proofErr w:type="spellStart"/>
      <w:r w:rsidRPr="00CD1E79">
        <w:rPr>
          <w:rFonts w:ascii="Tahoma" w:hAnsi="Tahoma" w:cs="Tahoma"/>
          <w:sz w:val="24"/>
          <w:szCs w:val="24"/>
        </w:rPr>
        <w:t>eSIMs</w:t>
      </w:r>
      <w:proofErr w:type="spellEnd"/>
      <w:r w:rsidRPr="00CD1E79">
        <w:rPr>
          <w:rFonts w:ascii="Tahoma" w:hAnsi="Tahoma" w:cs="Tahoma"/>
          <w:sz w:val="24"/>
          <w:szCs w:val="24"/>
        </w:rPr>
        <w:t xml:space="preserve">), and laid emphasis on enhancing the overall integrity of the M2M </w:t>
      </w:r>
      <w:proofErr w:type="spellStart"/>
      <w:r w:rsidRPr="00CD1E79">
        <w:rPr>
          <w:rFonts w:ascii="Tahoma" w:hAnsi="Tahoma" w:cs="Tahoma"/>
          <w:sz w:val="24"/>
          <w:szCs w:val="24"/>
        </w:rPr>
        <w:t>eSIM</w:t>
      </w:r>
      <w:proofErr w:type="spellEnd"/>
      <w:r w:rsidRPr="00CD1E79">
        <w:rPr>
          <w:rFonts w:ascii="Tahoma" w:hAnsi="Tahoma" w:cs="Tahoma"/>
          <w:sz w:val="24"/>
          <w:szCs w:val="24"/>
        </w:rPr>
        <w:t xml:space="preserve"> ecosystem. These recommendations will promote orderly growth in the M2M </w:t>
      </w:r>
      <w:proofErr w:type="spellStart"/>
      <w:r w:rsidRPr="00CD1E79">
        <w:rPr>
          <w:rFonts w:ascii="Tahoma" w:hAnsi="Tahoma" w:cs="Tahoma"/>
          <w:sz w:val="24"/>
          <w:szCs w:val="24"/>
        </w:rPr>
        <w:t>eSIM</w:t>
      </w:r>
      <w:proofErr w:type="spellEnd"/>
      <w:r w:rsidRPr="00CD1E79">
        <w:rPr>
          <w:rFonts w:ascii="Tahoma" w:hAnsi="Tahoma" w:cs="Tahoma"/>
          <w:sz w:val="24"/>
          <w:szCs w:val="24"/>
        </w:rPr>
        <w:t xml:space="preserve"> segment of the telecom sector in India and stimulate the development of a homegrown M2M </w:t>
      </w:r>
      <w:proofErr w:type="spellStart"/>
      <w:r w:rsidRPr="00CD1E79">
        <w:rPr>
          <w:rFonts w:ascii="Tahoma" w:hAnsi="Tahoma" w:cs="Tahoma"/>
          <w:sz w:val="24"/>
          <w:szCs w:val="24"/>
        </w:rPr>
        <w:t>eSIM</w:t>
      </w:r>
      <w:proofErr w:type="spellEnd"/>
      <w:r w:rsidRPr="00CD1E79">
        <w:rPr>
          <w:rFonts w:ascii="Tahoma" w:hAnsi="Tahoma" w:cs="Tahoma"/>
          <w:sz w:val="24"/>
          <w:szCs w:val="24"/>
        </w:rPr>
        <w:t xml:space="preserve"> ecosystem in the country.</w:t>
      </w:r>
    </w:p>
    <w:p w14:paraId="26775C63" w14:textId="77777777" w:rsidR="000F54E1" w:rsidRPr="00CD1E79" w:rsidRDefault="000F54E1" w:rsidP="000F54E1">
      <w:pPr>
        <w:spacing w:after="0" w:line="288" w:lineRule="auto"/>
        <w:jc w:val="both"/>
        <w:rPr>
          <w:rFonts w:ascii="Tahoma" w:hAnsi="Tahoma" w:cs="Tahoma"/>
          <w:sz w:val="24"/>
          <w:szCs w:val="24"/>
        </w:rPr>
      </w:pPr>
    </w:p>
    <w:p w14:paraId="4C1FF60A" w14:textId="77777777" w:rsidR="000F54E1" w:rsidRPr="00CD1E79" w:rsidRDefault="000F54E1" w:rsidP="006B2E72">
      <w:pPr>
        <w:spacing w:after="0" w:line="360" w:lineRule="auto"/>
        <w:ind w:left="360"/>
        <w:jc w:val="both"/>
        <w:rPr>
          <w:rFonts w:ascii="Tahoma" w:eastAsia="Aptos" w:hAnsi="Tahoma" w:cs="Tahoma"/>
          <w:sz w:val="24"/>
          <w:szCs w:val="24"/>
          <w:u w:val="single"/>
        </w:rPr>
      </w:pPr>
      <w:r w:rsidRPr="00CD1E79">
        <w:rPr>
          <w:rFonts w:ascii="Tahoma" w:eastAsia="Aptos" w:hAnsi="Tahoma" w:cs="Tahoma"/>
          <w:sz w:val="24"/>
          <w:szCs w:val="24"/>
          <w:u w:val="single"/>
        </w:rPr>
        <w:t xml:space="preserve">Recommendations on the Issues Related to Critical Services in the M2M Sector, and the Transfer of Ownership of M2M SIMs, dated 22.04.2025 </w:t>
      </w:r>
    </w:p>
    <w:p w14:paraId="4843E786" w14:textId="77777777" w:rsidR="000C282C" w:rsidRPr="00CD1E79" w:rsidRDefault="000C282C" w:rsidP="006B2E72">
      <w:pPr>
        <w:spacing w:after="0" w:line="360" w:lineRule="auto"/>
        <w:ind w:left="360"/>
        <w:jc w:val="both"/>
        <w:rPr>
          <w:rFonts w:ascii="Tahoma" w:eastAsia="Aptos" w:hAnsi="Tahoma" w:cs="Tahoma"/>
          <w:sz w:val="24"/>
          <w:szCs w:val="24"/>
          <w:u w:val="single"/>
        </w:rPr>
      </w:pPr>
    </w:p>
    <w:p w14:paraId="012EC0B1" w14:textId="77777777" w:rsidR="000F54E1" w:rsidRPr="00CD1E79" w:rsidRDefault="000F54E1" w:rsidP="00B118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Through these recommendations, TRAI recommended a guiding framework for classifying a service as a 'critical </w:t>
      </w:r>
      <w:proofErr w:type="spellStart"/>
      <w:r w:rsidRPr="00CD1E79">
        <w:rPr>
          <w:rFonts w:ascii="Tahoma" w:hAnsi="Tahoma" w:cs="Tahoma"/>
          <w:sz w:val="24"/>
          <w:szCs w:val="24"/>
        </w:rPr>
        <w:t>loT</w:t>
      </w:r>
      <w:proofErr w:type="spellEnd"/>
      <w:r w:rsidRPr="00CD1E79">
        <w:rPr>
          <w:rFonts w:ascii="Tahoma" w:hAnsi="Tahoma" w:cs="Tahoma"/>
          <w:sz w:val="24"/>
          <w:szCs w:val="24"/>
        </w:rPr>
        <w:t xml:space="preserve"> service', and a technology-agnostic approach for the provision of critical IoT services. These recommendations will help provide clarity, flexibility, and security for India’s IoT/ M2M ecosystem.</w:t>
      </w:r>
    </w:p>
    <w:p w14:paraId="79A2FEB8" w14:textId="77777777" w:rsidR="000F54E1" w:rsidRPr="00CD1E79" w:rsidRDefault="000F54E1" w:rsidP="000F54E1">
      <w:pPr>
        <w:spacing w:after="0" w:line="288" w:lineRule="auto"/>
        <w:jc w:val="both"/>
        <w:rPr>
          <w:rFonts w:ascii="Tahoma" w:hAnsi="Tahoma" w:cs="Tahoma"/>
          <w:sz w:val="24"/>
          <w:szCs w:val="24"/>
        </w:rPr>
      </w:pPr>
    </w:p>
    <w:p w14:paraId="7D12D06D" w14:textId="77777777" w:rsidR="000F54E1" w:rsidRPr="00CD1E79" w:rsidRDefault="000F54E1" w:rsidP="006B2E72">
      <w:pPr>
        <w:spacing w:after="0" w:line="360" w:lineRule="auto"/>
        <w:ind w:left="360"/>
        <w:jc w:val="both"/>
        <w:rPr>
          <w:rFonts w:ascii="Tahoma" w:eastAsia="Aptos" w:hAnsi="Tahoma" w:cs="Tahoma"/>
          <w:sz w:val="24"/>
          <w:szCs w:val="24"/>
          <w:u w:val="single"/>
        </w:rPr>
      </w:pPr>
      <w:r w:rsidRPr="00CD1E79">
        <w:rPr>
          <w:rFonts w:ascii="Tahoma" w:eastAsia="Aptos" w:hAnsi="Tahoma" w:cs="Tahoma"/>
          <w:sz w:val="24"/>
          <w:szCs w:val="24"/>
          <w:u w:val="single"/>
        </w:rPr>
        <w:lastRenderedPageBreak/>
        <w:t>Recommendations on the Regulatory Framework for the Sale of Foreign Telecom Service Providers SIM/</w:t>
      </w:r>
      <w:proofErr w:type="spellStart"/>
      <w:r w:rsidRPr="00CD1E79">
        <w:rPr>
          <w:rFonts w:ascii="Tahoma" w:eastAsia="Aptos" w:hAnsi="Tahoma" w:cs="Tahoma"/>
          <w:sz w:val="24"/>
          <w:szCs w:val="24"/>
          <w:u w:val="single"/>
        </w:rPr>
        <w:t>eSIM</w:t>
      </w:r>
      <w:proofErr w:type="spellEnd"/>
      <w:r w:rsidRPr="00CD1E79">
        <w:rPr>
          <w:rFonts w:ascii="Tahoma" w:eastAsia="Aptos" w:hAnsi="Tahoma" w:cs="Tahoma"/>
          <w:sz w:val="24"/>
          <w:szCs w:val="24"/>
          <w:u w:val="single"/>
        </w:rPr>
        <w:t xml:space="preserve"> Cards for the use in M2M/IoT Devices Meant for Export, dated 30.12.2025 </w:t>
      </w:r>
    </w:p>
    <w:p w14:paraId="19DA1637" w14:textId="77777777" w:rsidR="000C282C" w:rsidRPr="00CD1E79" w:rsidRDefault="000C282C" w:rsidP="000C282C">
      <w:pPr>
        <w:pStyle w:val="ListParagraph"/>
        <w:spacing w:after="0" w:line="360" w:lineRule="auto"/>
        <w:ind w:left="360"/>
        <w:jc w:val="both"/>
        <w:rPr>
          <w:rFonts w:ascii="Tahoma" w:hAnsi="Tahoma" w:cs="Tahoma"/>
          <w:sz w:val="24"/>
          <w:szCs w:val="24"/>
        </w:rPr>
      </w:pPr>
    </w:p>
    <w:p w14:paraId="55D2ED71" w14:textId="398AB8A3" w:rsidR="000F54E1" w:rsidRPr="00CD1E79" w:rsidRDefault="000F54E1" w:rsidP="00B118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Through these recommendations, TRAI recommended a light touch regulatory framework for the sale of foreign telecom service providers' SIM/ </w:t>
      </w:r>
      <w:proofErr w:type="spellStart"/>
      <w:r w:rsidRPr="00CD1E79">
        <w:rPr>
          <w:rFonts w:ascii="Tahoma" w:hAnsi="Tahoma" w:cs="Tahoma"/>
          <w:sz w:val="24"/>
          <w:szCs w:val="24"/>
        </w:rPr>
        <w:t>eSIM</w:t>
      </w:r>
      <w:proofErr w:type="spellEnd"/>
      <w:r w:rsidRPr="00CD1E79">
        <w:rPr>
          <w:rFonts w:ascii="Tahoma" w:hAnsi="Tahoma" w:cs="Tahoma"/>
          <w:sz w:val="24"/>
          <w:szCs w:val="24"/>
        </w:rPr>
        <w:t xml:space="preserve"> cards for the use in M2M/ IoT devices meant for export. These recommendations will support the vision of “Make in India” and facilitate Indian enterprises to compete with established global players.</w:t>
      </w:r>
    </w:p>
    <w:p w14:paraId="17EBEE08" w14:textId="77777777" w:rsidR="000F54E1" w:rsidRPr="00CD1E79" w:rsidRDefault="000F54E1" w:rsidP="000F54E1">
      <w:pPr>
        <w:spacing w:after="0" w:line="288" w:lineRule="auto"/>
        <w:jc w:val="both"/>
        <w:rPr>
          <w:rFonts w:ascii="Tahoma" w:hAnsi="Tahoma" w:cs="Tahoma"/>
          <w:sz w:val="24"/>
          <w:szCs w:val="24"/>
        </w:rPr>
      </w:pPr>
    </w:p>
    <w:p w14:paraId="5117648C" w14:textId="58AEFAD0" w:rsidR="000F54E1" w:rsidRDefault="000F54E1" w:rsidP="00B118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In addition, in the recommendations </w:t>
      </w:r>
      <w:r w:rsidR="000C282C" w:rsidRPr="00CD1E79">
        <w:rPr>
          <w:rFonts w:ascii="Tahoma" w:hAnsi="Tahoma" w:cs="Tahoma"/>
          <w:sz w:val="24"/>
          <w:szCs w:val="24"/>
        </w:rPr>
        <w:t>on service a</w:t>
      </w:r>
      <w:r w:rsidRPr="00CD1E79">
        <w:rPr>
          <w:rFonts w:ascii="Tahoma" w:hAnsi="Tahoma" w:cs="Tahoma"/>
          <w:sz w:val="24"/>
          <w:szCs w:val="24"/>
        </w:rPr>
        <w:t xml:space="preserve">uthorisations </w:t>
      </w:r>
      <w:r w:rsidR="000C282C" w:rsidRPr="00CD1E79">
        <w:rPr>
          <w:rFonts w:ascii="Tahoma" w:hAnsi="Tahoma" w:cs="Tahoma"/>
          <w:sz w:val="24"/>
          <w:szCs w:val="24"/>
        </w:rPr>
        <w:t>u</w:t>
      </w:r>
      <w:r w:rsidRPr="00CD1E79">
        <w:rPr>
          <w:rFonts w:ascii="Tahoma" w:hAnsi="Tahoma" w:cs="Tahoma"/>
          <w:sz w:val="24"/>
          <w:szCs w:val="24"/>
        </w:rPr>
        <w:t>nder the Telecommunications Act, 2023</w:t>
      </w:r>
      <w:r w:rsidR="00751A11" w:rsidRPr="00CD1E79">
        <w:rPr>
          <w:rFonts w:ascii="Tahoma" w:hAnsi="Tahoma" w:cs="Tahoma"/>
          <w:sz w:val="24"/>
          <w:szCs w:val="24"/>
        </w:rPr>
        <w:t>,</w:t>
      </w:r>
      <w:r w:rsidRPr="00CD1E79">
        <w:rPr>
          <w:rFonts w:ascii="Tahoma" w:hAnsi="Tahoma" w:cs="Tahoma"/>
          <w:sz w:val="24"/>
          <w:szCs w:val="24"/>
        </w:rPr>
        <w:t xml:space="preserve"> TRAI has recommended a light touch authorisation for M2M Service with no entry fee and no authorisation fee. These recommendations will encourage wider participation and accelerate deployment of M2M solutions across sectors. </w:t>
      </w:r>
    </w:p>
    <w:p w14:paraId="5C7AE779" w14:textId="77777777" w:rsidR="004C67BF" w:rsidRPr="004C67BF" w:rsidRDefault="004C67BF" w:rsidP="004C67BF">
      <w:pPr>
        <w:pStyle w:val="ListParagraph"/>
        <w:rPr>
          <w:rFonts w:ascii="Tahoma" w:hAnsi="Tahoma" w:cs="Tahoma"/>
          <w:sz w:val="24"/>
          <w:szCs w:val="24"/>
        </w:rPr>
      </w:pPr>
    </w:p>
    <w:p w14:paraId="57CC8799" w14:textId="2D6C0B9F" w:rsidR="004C67BF" w:rsidRPr="00CD1E79" w:rsidRDefault="004C67BF" w:rsidP="00B1185B">
      <w:pPr>
        <w:pStyle w:val="ListParagraph"/>
        <w:numPr>
          <w:ilvl w:val="0"/>
          <w:numId w:val="41"/>
        </w:numPr>
        <w:spacing w:after="0" w:line="360" w:lineRule="auto"/>
        <w:ind w:left="360"/>
        <w:jc w:val="both"/>
        <w:rPr>
          <w:rFonts w:ascii="Tahoma" w:hAnsi="Tahoma" w:cs="Tahoma"/>
          <w:sz w:val="24"/>
          <w:szCs w:val="24"/>
        </w:rPr>
      </w:pPr>
      <w:r>
        <w:rPr>
          <w:rFonts w:ascii="Tahoma" w:hAnsi="Tahoma" w:cs="Tahoma"/>
          <w:sz w:val="24"/>
          <w:szCs w:val="24"/>
        </w:rPr>
        <w:t>T</w:t>
      </w:r>
      <w:r w:rsidRPr="009943E1">
        <w:rPr>
          <w:rFonts w:ascii="Tahoma" w:hAnsi="Tahoma" w:cs="Tahoma"/>
          <w:sz w:val="24"/>
          <w:szCs w:val="24"/>
        </w:rPr>
        <w:t>he entities holding M2M authorisation under the Unified License should also be permitted to participate in the auction of IMT spectrum for frequency band 37-40 GHz.</w:t>
      </w:r>
      <w:r>
        <w:rPr>
          <w:rFonts w:ascii="Tahoma" w:hAnsi="Tahoma" w:cs="Tahoma"/>
          <w:sz w:val="24"/>
          <w:szCs w:val="24"/>
        </w:rPr>
        <w:t xml:space="preserve"> </w:t>
      </w:r>
      <w:r w:rsidRPr="009943E1">
        <w:rPr>
          <w:rFonts w:ascii="Tahoma" w:hAnsi="Tahoma" w:cs="Tahoma"/>
          <w:sz w:val="24"/>
          <w:szCs w:val="24"/>
        </w:rPr>
        <w:t>Recommendations dated 04.02.2025 on the ‘Frequency Spectrum in 37-37.5 GHz, 37.5-40 GHz, and 42.5-43.5 GHz bands Identified for IMT’.</w:t>
      </w:r>
    </w:p>
    <w:p w14:paraId="09793F2E" w14:textId="77777777" w:rsidR="000F54E1" w:rsidRPr="00CD1E79" w:rsidRDefault="000F54E1" w:rsidP="000F54E1">
      <w:pPr>
        <w:spacing w:after="0" w:line="288" w:lineRule="auto"/>
        <w:jc w:val="both"/>
        <w:rPr>
          <w:rFonts w:ascii="Tahoma" w:hAnsi="Tahoma" w:cs="Tahoma"/>
          <w:sz w:val="24"/>
          <w:szCs w:val="24"/>
        </w:rPr>
      </w:pPr>
    </w:p>
    <w:p w14:paraId="0B7985E8" w14:textId="77777777" w:rsidR="000F54E1" w:rsidRPr="00CD1E79" w:rsidRDefault="000F54E1" w:rsidP="00CE2F4D">
      <w:pPr>
        <w:pStyle w:val="ListParagraph"/>
        <w:numPr>
          <w:ilvl w:val="0"/>
          <w:numId w:val="49"/>
        </w:numPr>
        <w:spacing w:after="0" w:line="288" w:lineRule="auto"/>
        <w:ind w:left="426" w:hanging="426"/>
        <w:jc w:val="both"/>
        <w:rPr>
          <w:rFonts w:ascii="Tahoma" w:hAnsi="Tahoma" w:cs="Tahoma"/>
          <w:b/>
          <w:bCs/>
          <w:sz w:val="24"/>
          <w:szCs w:val="24"/>
          <w:u w:val="single"/>
        </w:rPr>
      </w:pPr>
      <w:r w:rsidRPr="00CD1E79">
        <w:rPr>
          <w:rFonts w:ascii="Tahoma" w:hAnsi="Tahoma" w:cs="Tahoma"/>
          <w:b/>
          <w:bCs/>
          <w:sz w:val="24"/>
          <w:szCs w:val="24"/>
          <w:u w:val="single"/>
        </w:rPr>
        <w:t>5G Captive Networks</w:t>
      </w:r>
    </w:p>
    <w:p w14:paraId="5012BF9D" w14:textId="77777777" w:rsidR="000F54E1" w:rsidRPr="00CD1E79" w:rsidRDefault="000F54E1" w:rsidP="000F54E1">
      <w:pPr>
        <w:spacing w:after="0" w:line="288" w:lineRule="auto"/>
        <w:jc w:val="both"/>
        <w:rPr>
          <w:rFonts w:ascii="Tahoma" w:hAnsi="Tahoma" w:cs="Tahoma"/>
          <w:sz w:val="24"/>
          <w:szCs w:val="24"/>
        </w:rPr>
      </w:pPr>
    </w:p>
    <w:p w14:paraId="7A4DDBEC" w14:textId="77777777" w:rsidR="000F54E1" w:rsidRPr="00CD1E79" w:rsidRDefault="000F54E1" w:rsidP="00B118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Enterprise use cases play a pivotal role in advancing industrial automation using 5G technology. Based on TRAI’s recommendations on the service authorisations, a separate and dedicated CNPN service authorisation has been included in the draft rules for service authorisation. This CNPN service authorisation is light touch with no entry fee and no authorisation fee. This is expected to significantly lower barriers to entry and encourage broader participation by enterprises. This will enable enterprises to build captive network supporting industrial automation across sectors such as manufacturing, healthcare, logistics, ports, etc. using 5G technology. </w:t>
      </w:r>
    </w:p>
    <w:p w14:paraId="17FAF089" w14:textId="77777777" w:rsidR="000F54E1" w:rsidRPr="00CD1E79" w:rsidRDefault="000F54E1" w:rsidP="000F54E1">
      <w:pPr>
        <w:spacing w:after="0" w:line="288" w:lineRule="auto"/>
        <w:jc w:val="both"/>
        <w:rPr>
          <w:rFonts w:ascii="Tahoma" w:hAnsi="Tahoma" w:cs="Tahoma"/>
          <w:sz w:val="24"/>
          <w:szCs w:val="24"/>
        </w:rPr>
      </w:pPr>
    </w:p>
    <w:p w14:paraId="4F54913F" w14:textId="77777777" w:rsidR="00751A11" w:rsidRPr="00CD1E79" w:rsidRDefault="00751A11" w:rsidP="00751A11">
      <w:pPr>
        <w:spacing w:after="0" w:line="360" w:lineRule="auto"/>
        <w:jc w:val="both"/>
        <w:rPr>
          <w:rFonts w:ascii="Tahoma" w:hAnsi="Tahoma" w:cs="Tahoma"/>
          <w:sz w:val="24"/>
          <w:szCs w:val="24"/>
        </w:rPr>
      </w:pPr>
    </w:p>
    <w:p w14:paraId="10EA7EBB" w14:textId="77777777" w:rsidR="000F54E1" w:rsidRPr="00CD1E79" w:rsidRDefault="000F54E1" w:rsidP="00CE2F4D">
      <w:pPr>
        <w:pStyle w:val="ListParagraph"/>
        <w:numPr>
          <w:ilvl w:val="0"/>
          <w:numId w:val="49"/>
        </w:numPr>
        <w:spacing w:after="0" w:line="288" w:lineRule="auto"/>
        <w:ind w:left="426" w:hanging="426"/>
        <w:jc w:val="both"/>
        <w:rPr>
          <w:rFonts w:ascii="Tahoma" w:hAnsi="Tahoma" w:cs="Tahoma"/>
          <w:b/>
          <w:bCs/>
          <w:sz w:val="24"/>
          <w:szCs w:val="24"/>
          <w:u w:val="single"/>
        </w:rPr>
      </w:pPr>
      <w:r w:rsidRPr="00CD1E79">
        <w:rPr>
          <w:rFonts w:ascii="Tahoma" w:hAnsi="Tahoma" w:cs="Tahoma"/>
          <w:b/>
          <w:bCs/>
          <w:sz w:val="24"/>
          <w:szCs w:val="24"/>
          <w:u w:val="single"/>
        </w:rPr>
        <w:t>Satellite-based Communications</w:t>
      </w:r>
    </w:p>
    <w:p w14:paraId="0F0C7FF0" w14:textId="77777777" w:rsidR="000F54E1" w:rsidRPr="00CD1E79" w:rsidRDefault="000F54E1" w:rsidP="000F54E1">
      <w:pPr>
        <w:spacing w:after="0" w:line="288" w:lineRule="auto"/>
        <w:jc w:val="both"/>
        <w:rPr>
          <w:rFonts w:ascii="Tahoma" w:hAnsi="Tahoma" w:cs="Tahoma"/>
          <w:sz w:val="24"/>
          <w:szCs w:val="24"/>
        </w:rPr>
      </w:pPr>
    </w:p>
    <w:p w14:paraId="6D94CFE9" w14:textId="77777777" w:rsidR="000F54E1" w:rsidRPr="00CD1E79" w:rsidRDefault="000F54E1" w:rsidP="00B118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Satellite communication (satcom) is a key enabler for building inclusive, reliable, and resilient digital telecommunication infrastructure. It complements terrestrial telecommunications network by enabling high-capacity, low-latency connectivity across wide geographies.</w:t>
      </w:r>
    </w:p>
    <w:p w14:paraId="00F9008E" w14:textId="77777777" w:rsidR="000F54E1" w:rsidRPr="00CD1E79" w:rsidRDefault="000F54E1" w:rsidP="000F54E1">
      <w:pPr>
        <w:spacing w:after="0" w:line="288" w:lineRule="auto"/>
        <w:jc w:val="both"/>
        <w:rPr>
          <w:rFonts w:ascii="Tahoma" w:hAnsi="Tahoma" w:cs="Tahoma"/>
          <w:sz w:val="24"/>
          <w:szCs w:val="24"/>
        </w:rPr>
      </w:pPr>
    </w:p>
    <w:p w14:paraId="6B96F211" w14:textId="77777777" w:rsidR="000F54E1" w:rsidRPr="00CD1E79" w:rsidRDefault="000F54E1" w:rsidP="006B2E72">
      <w:pPr>
        <w:spacing w:after="0" w:line="360" w:lineRule="auto"/>
        <w:ind w:left="360"/>
        <w:jc w:val="both"/>
        <w:rPr>
          <w:rFonts w:ascii="Tahoma" w:hAnsi="Tahoma" w:cs="Tahoma"/>
          <w:sz w:val="24"/>
          <w:szCs w:val="24"/>
          <w:u w:val="single"/>
        </w:rPr>
      </w:pPr>
      <w:r w:rsidRPr="00CD1E79">
        <w:rPr>
          <w:rFonts w:ascii="Tahoma" w:hAnsi="Tahoma" w:cs="Tahoma"/>
          <w:sz w:val="24"/>
          <w:szCs w:val="24"/>
          <w:u w:val="single"/>
        </w:rPr>
        <w:t>Recommendations on Terms and Conditions for the Assignment of Spectrum for Certain Satellite-Based Commercial Communication Services, dated 09.05.2025</w:t>
      </w:r>
    </w:p>
    <w:p w14:paraId="18D17602" w14:textId="77777777" w:rsidR="000F54E1" w:rsidRPr="00CD1E79" w:rsidRDefault="000F54E1" w:rsidP="000F54E1">
      <w:pPr>
        <w:spacing w:after="0" w:line="288" w:lineRule="auto"/>
        <w:jc w:val="both"/>
        <w:rPr>
          <w:rFonts w:ascii="Tahoma" w:hAnsi="Tahoma" w:cs="Tahoma"/>
          <w:sz w:val="24"/>
          <w:szCs w:val="24"/>
        </w:rPr>
      </w:pPr>
    </w:p>
    <w:p w14:paraId="36A8E519" w14:textId="77777777" w:rsidR="000F54E1" w:rsidRPr="00CD1E79" w:rsidRDefault="000F54E1" w:rsidP="00B1185B">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Spectrum is the fundamental enabler of satellite-based communication services, defining the capacity, coverage, and overall performance of satellite networks. In May 2025, TRAI recommended a framework for assignment of spectrum on administrative-basis to satellite-based systems. Considering rapid technological evolution in satellite systems, the framework is proposed initially for five years, with a provision for extension of up to two additional years.</w:t>
      </w:r>
    </w:p>
    <w:p w14:paraId="76800179" w14:textId="77777777" w:rsidR="006D76C8" w:rsidRPr="00CD1E79" w:rsidRDefault="006D76C8" w:rsidP="006D76C8">
      <w:pPr>
        <w:pStyle w:val="ListParagraph"/>
        <w:spacing w:after="0" w:line="360" w:lineRule="auto"/>
        <w:ind w:left="360"/>
        <w:jc w:val="both"/>
        <w:rPr>
          <w:rFonts w:ascii="Tahoma" w:hAnsi="Tahoma" w:cs="Tahoma"/>
          <w:sz w:val="24"/>
          <w:szCs w:val="24"/>
        </w:rPr>
      </w:pPr>
    </w:p>
    <w:p w14:paraId="195B0546" w14:textId="32A9DF94" w:rsidR="000F54E1" w:rsidRPr="00CD1E79" w:rsidRDefault="000F54E1" w:rsidP="00577AE4">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 xml:space="preserve">To ensure transparency and predictability in regulatory costs, spectrum usage charges are recommended as a percentage of service revenue, subject to a minimum annual charge. Overall, the framework aims to promote innovation and investment while keeping satellite services affordable and competitive. </w:t>
      </w:r>
    </w:p>
    <w:p w14:paraId="53E60919" w14:textId="77777777" w:rsidR="000F54E1" w:rsidRPr="00CD1E79" w:rsidRDefault="000F54E1" w:rsidP="00751A11">
      <w:pPr>
        <w:pStyle w:val="ListParagraph"/>
        <w:spacing w:after="0" w:line="360" w:lineRule="auto"/>
        <w:ind w:left="360"/>
        <w:jc w:val="both"/>
        <w:rPr>
          <w:rFonts w:ascii="Tahoma" w:hAnsi="Tahoma" w:cs="Tahoma"/>
          <w:sz w:val="24"/>
          <w:szCs w:val="24"/>
        </w:rPr>
      </w:pPr>
    </w:p>
    <w:p w14:paraId="2887191B" w14:textId="4C26E55C" w:rsidR="00194169" w:rsidRPr="00DF19EF" w:rsidRDefault="000F54E1" w:rsidP="00DF19EF">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Also, TRAI in the recommendations of February 2025 on network authorisations</w:t>
      </w:r>
      <w:r w:rsidR="00751A11" w:rsidRPr="00CD1E79">
        <w:rPr>
          <w:rFonts w:ascii="Tahoma" w:hAnsi="Tahoma" w:cs="Tahoma"/>
          <w:sz w:val="24"/>
          <w:szCs w:val="24"/>
        </w:rPr>
        <w:t xml:space="preserve">, TRAI </w:t>
      </w:r>
      <w:r w:rsidRPr="00CD1E79">
        <w:rPr>
          <w:rFonts w:ascii="Tahoma" w:hAnsi="Tahoma" w:cs="Tahoma"/>
          <w:sz w:val="24"/>
          <w:szCs w:val="24"/>
        </w:rPr>
        <w:t>has recommended Satellite Earth Station Gateway (SESG) provider authorisation which can provide its SESG infrastructure to the authorised entities to use satellite media under their scope of service.</w:t>
      </w:r>
    </w:p>
    <w:p w14:paraId="5AEAAD14" w14:textId="77777777" w:rsidR="00BB312E" w:rsidRPr="00CD1E79" w:rsidRDefault="00BB312E" w:rsidP="00BB312E">
      <w:pPr>
        <w:spacing w:after="0" w:line="360" w:lineRule="auto"/>
        <w:jc w:val="both"/>
        <w:rPr>
          <w:rFonts w:ascii="Tahoma" w:hAnsi="Tahoma" w:cs="Tahoma"/>
          <w:sz w:val="24"/>
          <w:szCs w:val="24"/>
        </w:rPr>
      </w:pPr>
    </w:p>
    <w:p w14:paraId="79D349B1" w14:textId="51339C61" w:rsidR="00563F68" w:rsidRPr="00CD1E79" w:rsidRDefault="00563F68" w:rsidP="00CE2F4D">
      <w:pPr>
        <w:pStyle w:val="ListParagraph"/>
        <w:numPr>
          <w:ilvl w:val="0"/>
          <w:numId w:val="49"/>
        </w:numPr>
        <w:spacing w:after="0" w:line="288" w:lineRule="auto"/>
        <w:ind w:left="426" w:hanging="426"/>
        <w:jc w:val="both"/>
        <w:rPr>
          <w:rFonts w:ascii="Tahoma" w:hAnsi="Tahoma" w:cs="Tahoma"/>
          <w:b/>
          <w:bCs/>
          <w:sz w:val="24"/>
          <w:szCs w:val="24"/>
          <w:u w:val="single"/>
        </w:rPr>
      </w:pPr>
      <w:r w:rsidRPr="00CD1E79">
        <w:rPr>
          <w:rFonts w:ascii="Tahoma" w:hAnsi="Tahoma" w:cs="Tahoma"/>
          <w:b/>
          <w:bCs/>
          <w:sz w:val="24"/>
          <w:szCs w:val="24"/>
          <w:u w:val="single"/>
        </w:rPr>
        <w:t>6G Technology</w:t>
      </w:r>
    </w:p>
    <w:p w14:paraId="2647EC01" w14:textId="77777777" w:rsidR="009751F3" w:rsidRPr="00CD1E79" w:rsidRDefault="009751F3" w:rsidP="009751F3">
      <w:pPr>
        <w:pStyle w:val="ListParagraph"/>
        <w:spacing w:after="0" w:line="360" w:lineRule="auto"/>
        <w:ind w:left="360"/>
        <w:jc w:val="both"/>
        <w:rPr>
          <w:rFonts w:ascii="Tahoma" w:hAnsi="Tahoma" w:cs="Tahoma"/>
          <w:sz w:val="24"/>
          <w:szCs w:val="24"/>
        </w:rPr>
      </w:pPr>
    </w:p>
    <w:p w14:paraId="2FFD4A06" w14:textId="02675465" w:rsidR="007A53C1" w:rsidRPr="00CD1E79" w:rsidRDefault="007A53C1" w:rsidP="004C3E02">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Bharat 6G Vision</w:t>
      </w:r>
    </w:p>
    <w:p w14:paraId="4CDE84CA" w14:textId="77777777" w:rsidR="007A53C1" w:rsidRPr="00CD1E79" w:rsidRDefault="00AC5E29" w:rsidP="004C3E02">
      <w:pPr>
        <w:pStyle w:val="ListParagraph"/>
        <w:numPr>
          <w:ilvl w:val="0"/>
          <w:numId w:val="45"/>
        </w:numPr>
        <w:spacing w:after="0" w:line="360" w:lineRule="auto"/>
        <w:jc w:val="both"/>
        <w:rPr>
          <w:rFonts w:ascii="Tahoma" w:hAnsi="Tahoma" w:cs="Tahoma"/>
          <w:sz w:val="24"/>
          <w:szCs w:val="24"/>
        </w:rPr>
      </w:pPr>
      <w:r w:rsidRPr="00CD1E79">
        <w:rPr>
          <w:rFonts w:ascii="Tahoma" w:hAnsi="Tahoma" w:cs="Tahoma"/>
          <w:sz w:val="24"/>
          <w:szCs w:val="24"/>
        </w:rPr>
        <w:t xml:space="preserve">The Government released the Bharat 6G Vision in 2023 to position India as a global leader in the design, development, and deployment of 6G technologies.  </w:t>
      </w:r>
    </w:p>
    <w:p w14:paraId="3B9B5C8A" w14:textId="6C3BCAC3" w:rsidR="00AC5E29" w:rsidRPr="00CD1E79" w:rsidRDefault="00AC5E29" w:rsidP="004C3E02">
      <w:pPr>
        <w:pStyle w:val="ListParagraph"/>
        <w:numPr>
          <w:ilvl w:val="0"/>
          <w:numId w:val="45"/>
        </w:numPr>
        <w:spacing w:after="0" w:line="360" w:lineRule="auto"/>
        <w:jc w:val="both"/>
        <w:rPr>
          <w:rFonts w:ascii="Tahoma" w:hAnsi="Tahoma" w:cs="Tahoma"/>
          <w:sz w:val="24"/>
          <w:szCs w:val="24"/>
        </w:rPr>
      </w:pPr>
      <w:r w:rsidRPr="00CD1E79">
        <w:rPr>
          <w:rFonts w:ascii="Tahoma" w:hAnsi="Tahoma" w:cs="Tahoma"/>
          <w:sz w:val="24"/>
          <w:szCs w:val="24"/>
        </w:rPr>
        <w:lastRenderedPageBreak/>
        <w:t xml:space="preserve">Anchored on the principles of affordability, sustainability, and ubiquity, India’s 6G vision focuses on empowering society through indigenous innovation, advanced research and development, and global collaboration. </w:t>
      </w:r>
    </w:p>
    <w:p w14:paraId="5239F77E" w14:textId="77777777" w:rsidR="00AC5E29" w:rsidRPr="00CD1E79" w:rsidRDefault="00AC5E29" w:rsidP="00AC5E29">
      <w:pPr>
        <w:pStyle w:val="ListParagraph"/>
        <w:spacing w:after="0" w:line="360" w:lineRule="auto"/>
        <w:ind w:left="360"/>
        <w:jc w:val="both"/>
        <w:rPr>
          <w:rFonts w:ascii="Tahoma" w:hAnsi="Tahoma" w:cs="Tahoma"/>
          <w:sz w:val="24"/>
          <w:szCs w:val="24"/>
        </w:rPr>
      </w:pPr>
    </w:p>
    <w:p w14:paraId="6442E994" w14:textId="6556DBE8" w:rsidR="004C3E02" w:rsidRPr="00CD1E79" w:rsidRDefault="004C3E02" w:rsidP="004C3E02">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Test Beds and 5G Labs</w:t>
      </w:r>
    </w:p>
    <w:p w14:paraId="26676542" w14:textId="77777777" w:rsidR="004C3E02" w:rsidRPr="00CD1E79" w:rsidRDefault="00AC5E29" w:rsidP="004C3E02">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 xml:space="preserve">For the development of 6G technology, the Government has funded Test beds for 6G Terahertz &amp; Advance Optical Communication. </w:t>
      </w:r>
    </w:p>
    <w:p w14:paraId="2795B81F" w14:textId="77777777" w:rsidR="004C3E02" w:rsidRPr="00CD1E79" w:rsidRDefault="00AC5E29" w:rsidP="004C3E02">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 xml:space="preserve">To further prepare ecosystem for future telecom technologies, the government has set up 100 5G labs for capacity building &amp; for building a 6G ready academic and start-up ecosystem. </w:t>
      </w:r>
    </w:p>
    <w:p w14:paraId="14D8830E" w14:textId="67A45D21" w:rsidR="00AC5E29" w:rsidRPr="00CD1E79" w:rsidRDefault="00AC5E29" w:rsidP="004C3E02">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In addition, 104 research proposals have been approved on 6G network ecosystems to promote research and innovation in line with global roadmap for 6G technology.</w:t>
      </w:r>
    </w:p>
    <w:p w14:paraId="740F2994" w14:textId="77777777" w:rsidR="00AC0CB1" w:rsidRPr="00CD1E79" w:rsidRDefault="00AC0CB1" w:rsidP="00AC0CB1">
      <w:pPr>
        <w:pStyle w:val="ListParagraph"/>
        <w:spacing w:after="0" w:line="360" w:lineRule="auto"/>
        <w:ind w:left="360"/>
        <w:jc w:val="both"/>
        <w:rPr>
          <w:rFonts w:ascii="Tahoma" w:hAnsi="Tahoma" w:cs="Tahoma"/>
          <w:sz w:val="24"/>
          <w:szCs w:val="24"/>
        </w:rPr>
      </w:pPr>
    </w:p>
    <w:p w14:paraId="5128613D" w14:textId="2B6C47E7" w:rsidR="00AC5E29" w:rsidRPr="00CD1E79" w:rsidRDefault="00AC0CB1" w:rsidP="004C3E02">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Bharat 6G Alliance</w:t>
      </w:r>
    </w:p>
    <w:p w14:paraId="3CA4C462" w14:textId="77777777" w:rsidR="00AC0CB1" w:rsidRPr="00CD1E79" w:rsidRDefault="00AC0CB1" w:rsidP="00AC0CB1">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The</w:t>
      </w:r>
      <w:r w:rsidR="00AC5E29" w:rsidRPr="00CD1E79">
        <w:rPr>
          <w:rFonts w:ascii="Tahoma" w:hAnsi="Tahoma" w:cs="Tahoma"/>
          <w:sz w:val="24"/>
          <w:szCs w:val="24"/>
        </w:rPr>
        <w:t xml:space="preserve"> Bharat 6G Alliance (B6GA), supported by the Government and industry, is driving indigenous 6G research and development. </w:t>
      </w:r>
    </w:p>
    <w:p w14:paraId="07E29119" w14:textId="77777777" w:rsidR="00AC0CB1" w:rsidRPr="00CD1E79" w:rsidRDefault="00AC5E29" w:rsidP="00AC0CB1">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 xml:space="preserve">It has signed Memorandum of Understanding (MoU) with leading global research alliances to collaborative research and standardization. </w:t>
      </w:r>
    </w:p>
    <w:p w14:paraId="152740FF" w14:textId="180EB92C" w:rsidR="00AC5E29" w:rsidRPr="00CD1E79" w:rsidRDefault="00AC5E29" w:rsidP="00AC0CB1">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 xml:space="preserve">Further, it has MoU with TSDSI and NASSCOM to utilise national synergy. </w:t>
      </w:r>
    </w:p>
    <w:p w14:paraId="1DF53654" w14:textId="77777777" w:rsidR="00AC5E29" w:rsidRPr="00CD1E79" w:rsidRDefault="00AC5E29" w:rsidP="00AC0CB1">
      <w:pPr>
        <w:pStyle w:val="ListParagraph"/>
        <w:spacing w:after="0" w:line="360" w:lineRule="auto"/>
        <w:jc w:val="both"/>
        <w:rPr>
          <w:rFonts w:ascii="Tahoma" w:hAnsi="Tahoma" w:cs="Tahoma"/>
          <w:sz w:val="24"/>
          <w:szCs w:val="24"/>
        </w:rPr>
      </w:pPr>
    </w:p>
    <w:p w14:paraId="249B61C2" w14:textId="687D7547" w:rsidR="00D818F5" w:rsidRPr="00CD1E79" w:rsidRDefault="00D818F5" w:rsidP="00D818F5">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Telecom Technology Development Fund (TDDF) scheme</w:t>
      </w:r>
    </w:p>
    <w:p w14:paraId="6FC7253A" w14:textId="77777777" w:rsidR="00D818F5" w:rsidRPr="00CD1E79" w:rsidRDefault="00AC5E29" w:rsidP="00D818F5">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 xml:space="preserve">To enable affordable broadband and mobile services in rural and remote areas, under the Telecom Technology Development Fund (TDDF) scheme, 115 projects related to 5G and 6G (up to Sep’25) have been approved. </w:t>
      </w:r>
    </w:p>
    <w:p w14:paraId="6331F720" w14:textId="12D77C45" w:rsidR="00AC5E29" w:rsidRPr="00CD1E79" w:rsidRDefault="00AC5E29" w:rsidP="00D818F5">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 xml:space="preserve">Under the National Mission on Interdisciplinary Cyber-Physical Systems (NM-ICPS), a Technology Innovation Hub has been established at IIIT Bangalore with a focus on Advanced Communication Systems. </w:t>
      </w:r>
    </w:p>
    <w:p w14:paraId="0EE272D3" w14:textId="77777777" w:rsidR="00AC5E29" w:rsidRPr="00CD1E79" w:rsidRDefault="00AC5E29" w:rsidP="00AC5E29">
      <w:pPr>
        <w:pStyle w:val="ListParagraph"/>
        <w:spacing w:after="0" w:line="360" w:lineRule="auto"/>
        <w:ind w:left="360"/>
        <w:jc w:val="both"/>
        <w:rPr>
          <w:rFonts w:ascii="Tahoma" w:hAnsi="Tahoma" w:cs="Tahoma"/>
          <w:sz w:val="24"/>
          <w:szCs w:val="24"/>
        </w:rPr>
      </w:pPr>
    </w:p>
    <w:p w14:paraId="0B67F1BC" w14:textId="6D7DCDC3" w:rsidR="00D818F5" w:rsidRPr="00CD1E79" w:rsidRDefault="0028706D" w:rsidP="00AC5E29">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Regulatory Sandbox</w:t>
      </w:r>
    </w:p>
    <w:p w14:paraId="3A13D79A" w14:textId="45EC0AD2" w:rsidR="00AC5E29" w:rsidRPr="00CD1E79" w:rsidRDefault="00AC5E29" w:rsidP="0028706D">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 xml:space="preserve">In view of encouraging innovative technologies, services, use cases, and business models in digital communication sector, in April 2024, TRAI </w:t>
      </w:r>
      <w:r w:rsidRPr="00CD1E79">
        <w:rPr>
          <w:rFonts w:ascii="Tahoma" w:hAnsi="Tahoma" w:cs="Tahoma"/>
          <w:sz w:val="24"/>
          <w:szCs w:val="24"/>
        </w:rPr>
        <w:lastRenderedPageBreak/>
        <w:t>recommended regulatory sandbox framework to provide access to real network environments and data of telecom network to help test the reliability of new applications, and for using cross-sector cooperation.</w:t>
      </w:r>
    </w:p>
    <w:p w14:paraId="26430E55" w14:textId="77777777" w:rsidR="00AC5E29" w:rsidRPr="00CD1E79" w:rsidRDefault="00AC5E29" w:rsidP="00AC5E29">
      <w:pPr>
        <w:pStyle w:val="ListParagraph"/>
        <w:spacing w:after="0" w:line="360" w:lineRule="auto"/>
        <w:ind w:left="360"/>
        <w:jc w:val="both"/>
        <w:rPr>
          <w:rFonts w:ascii="Tahoma" w:hAnsi="Tahoma" w:cs="Tahoma"/>
          <w:sz w:val="24"/>
          <w:szCs w:val="24"/>
        </w:rPr>
      </w:pPr>
    </w:p>
    <w:p w14:paraId="77D75063" w14:textId="544D5245" w:rsidR="007E47E5" w:rsidRPr="00CD1E79" w:rsidRDefault="007E47E5" w:rsidP="00AC5E29">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IMT Spectrum</w:t>
      </w:r>
    </w:p>
    <w:p w14:paraId="14076848" w14:textId="77777777" w:rsidR="007E47E5" w:rsidRPr="00CD1E79" w:rsidRDefault="00AC5E29" w:rsidP="007E47E5">
      <w:pPr>
        <w:pStyle w:val="ListParagraph"/>
        <w:numPr>
          <w:ilvl w:val="0"/>
          <w:numId w:val="44"/>
        </w:numPr>
        <w:spacing w:after="0" w:line="360" w:lineRule="auto"/>
        <w:jc w:val="both"/>
        <w:rPr>
          <w:rFonts w:ascii="Tahoma" w:hAnsi="Tahoma" w:cs="Tahoma"/>
          <w:sz w:val="24"/>
          <w:szCs w:val="24"/>
        </w:rPr>
      </w:pPr>
      <w:r w:rsidRPr="00CD1E79">
        <w:rPr>
          <w:rFonts w:ascii="Tahoma" w:hAnsi="Tahoma" w:cs="Tahoma"/>
          <w:sz w:val="24"/>
          <w:szCs w:val="24"/>
        </w:rPr>
        <w:t xml:space="preserve">Regarding spectrum requirements for 6G and future IMT technologies, TRAI in February 2026 has recommended reserving the upper 6 GHz band for IMT. </w:t>
      </w:r>
    </w:p>
    <w:p w14:paraId="75898F1E" w14:textId="2195C8EA" w:rsidR="00AC5E29" w:rsidRPr="00CD1E79" w:rsidRDefault="007E47E5" w:rsidP="007E47E5">
      <w:pPr>
        <w:pStyle w:val="ListParagraph"/>
        <w:numPr>
          <w:ilvl w:val="0"/>
          <w:numId w:val="44"/>
        </w:numPr>
        <w:spacing w:after="0" w:line="360" w:lineRule="auto"/>
        <w:jc w:val="both"/>
        <w:rPr>
          <w:rFonts w:ascii="Tahoma" w:hAnsi="Tahoma" w:cs="Tahoma"/>
          <w:sz w:val="24"/>
          <w:szCs w:val="24"/>
        </w:rPr>
      </w:pPr>
      <w:proofErr w:type="gramStart"/>
      <w:r w:rsidRPr="00CD1E79">
        <w:rPr>
          <w:rFonts w:ascii="Tahoma" w:hAnsi="Tahoma" w:cs="Tahoma"/>
          <w:sz w:val="24"/>
          <w:szCs w:val="24"/>
        </w:rPr>
        <w:t>I</w:t>
      </w:r>
      <w:r w:rsidR="00AC5E29" w:rsidRPr="00CD1E79">
        <w:rPr>
          <w:rFonts w:ascii="Tahoma" w:hAnsi="Tahoma" w:cs="Tahoma"/>
          <w:sz w:val="24"/>
          <w:szCs w:val="24"/>
        </w:rPr>
        <w:t>n regard to</w:t>
      </w:r>
      <w:proofErr w:type="gramEnd"/>
      <w:r w:rsidR="00AC5E29" w:rsidRPr="00CD1E79">
        <w:rPr>
          <w:rFonts w:ascii="Tahoma" w:hAnsi="Tahoma" w:cs="Tahoma"/>
          <w:sz w:val="24"/>
          <w:szCs w:val="24"/>
        </w:rPr>
        <w:t xml:space="preserve"> utilizing 67 MHz of 1427-1518 MHz band, TRAI has recommended to explore creation of a suitable band plan for utilizing the frequency range for Supplementary Uplink (SUL). </w:t>
      </w:r>
    </w:p>
    <w:p w14:paraId="3944739A" w14:textId="77777777" w:rsidR="00AC5E29" w:rsidRPr="00CD1E79" w:rsidRDefault="00AC5E29" w:rsidP="00AC5E29">
      <w:pPr>
        <w:pStyle w:val="ListParagraph"/>
        <w:spacing w:after="0" w:line="360" w:lineRule="auto"/>
        <w:ind w:left="360"/>
        <w:jc w:val="both"/>
        <w:rPr>
          <w:rFonts w:ascii="Tahoma" w:hAnsi="Tahoma" w:cs="Tahoma"/>
          <w:sz w:val="24"/>
          <w:szCs w:val="24"/>
        </w:rPr>
      </w:pPr>
    </w:p>
    <w:p w14:paraId="4E21E66D" w14:textId="77777777" w:rsidR="00B14EA4" w:rsidRPr="00CD1E79" w:rsidRDefault="00B14EA4" w:rsidP="007E47E5">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Terahertz Spectrum</w:t>
      </w:r>
    </w:p>
    <w:p w14:paraId="42FDA4C8" w14:textId="77777777" w:rsidR="00B14EA4" w:rsidRPr="00CD1E79" w:rsidRDefault="00B14EA4" w:rsidP="00B14EA4">
      <w:pPr>
        <w:spacing w:after="0" w:line="360" w:lineRule="auto"/>
        <w:ind w:left="360"/>
        <w:jc w:val="both"/>
        <w:rPr>
          <w:rFonts w:ascii="Tahoma" w:hAnsi="Tahoma" w:cs="Tahoma"/>
          <w:sz w:val="24"/>
          <w:szCs w:val="24"/>
          <w:u w:val="single"/>
        </w:rPr>
      </w:pPr>
      <w:r w:rsidRPr="00CD1E79">
        <w:rPr>
          <w:rFonts w:ascii="Tahoma" w:hAnsi="Tahoma" w:cs="Tahoma"/>
          <w:sz w:val="24"/>
          <w:szCs w:val="24"/>
          <w:u w:val="single"/>
        </w:rPr>
        <w:t>Recommendations on the Tera Hertz Spectrum dated 21.08.2024</w:t>
      </w:r>
    </w:p>
    <w:p w14:paraId="36E6C50A" w14:textId="25852EDC" w:rsidR="00B14EA4" w:rsidRPr="00CD1E79" w:rsidRDefault="00B14EA4" w:rsidP="007E47E5">
      <w:pPr>
        <w:pStyle w:val="ListParagraph"/>
        <w:numPr>
          <w:ilvl w:val="0"/>
          <w:numId w:val="46"/>
        </w:numPr>
        <w:spacing w:after="0" w:line="360" w:lineRule="auto"/>
        <w:ind w:left="720"/>
        <w:jc w:val="both"/>
        <w:rPr>
          <w:rFonts w:ascii="Tahoma" w:hAnsi="Tahoma" w:cs="Tahoma"/>
          <w:sz w:val="24"/>
          <w:szCs w:val="24"/>
        </w:rPr>
      </w:pPr>
      <w:r w:rsidRPr="00CD1E79">
        <w:rPr>
          <w:rFonts w:ascii="Tahoma" w:hAnsi="Tahoma" w:cs="Tahoma"/>
          <w:sz w:val="24"/>
          <w:szCs w:val="24"/>
        </w:rPr>
        <w:t>In recognition of the strategic importance of the terahertz spectrum for various innovative applications, in August 2024, TRAI proposed a framework to promote research and development, technology trials, experimentation and demonstrations in the terahertz advanced spectrum range. TRAI also recommended making certain frequency bands on license-exempt basis to encourage innovation.</w:t>
      </w:r>
    </w:p>
    <w:p w14:paraId="1B092F16" w14:textId="77777777" w:rsidR="00022EB2" w:rsidRPr="00CD1E79" w:rsidRDefault="00022EB2" w:rsidP="00022EB2">
      <w:pPr>
        <w:pStyle w:val="ListParagraph"/>
        <w:rPr>
          <w:rFonts w:ascii="Tahoma" w:hAnsi="Tahoma" w:cs="Tahoma"/>
          <w:sz w:val="24"/>
          <w:szCs w:val="24"/>
        </w:rPr>
      </w:pPr>
    </w:p>
    <w:p w14:paraId="346CF349" w14:textId="77777777" w:rsidR="00022EB2" w:rsidRPr="00CD1E79" w:rsidRDefault="00022EB2" w:rsidP="007E47E5">
      <w:pPr>
        <w:pStyle w:val="ListParagraph"/>
        <w:numPr>
          <w:ilvl w:val="0"/>
          <w:numId w:val="41"/>
        </w:numPr>
        <w:spacing w:after="0" w:line="360" w:lineRule="auto"/>
        <w:ind w:left="360"/>
        <w:jc w:val="both"/>
        <w:rPr>
          <w:rFonts w:ascii="Tahoma" w:hAnsi="Tahoma" w:cs="Tahoma"/>
          <w:sz w:val="24"/>
          <w:szCs w:val="24"/>
        </w:rPr>
      </w:pPr>
      <w:r w:rsidRPr="00CD1E79">
        <w:rPr>
          <w:rFonts w:ascii="Tahoma" w:hAnsi="Tahoma" w:cs="Tahoma"/>
          <w:sz w:val="24"/>
          <w:szCs w:val="24"/>
        </w:rPr>
        <w:t>Direct-to-Device Communications</w:t>
      </w:r>
    </w:p>
    <w:p w14:paraId="3A13A79D" w14:textId="77777777" w:rsidR="00536072" w:rsidRPr="00CD1E79" w:rsidRDefault="00022EB2" w:rsidP="007E47E5">
      <w:pPr>
        <w:pStyle w:val="ListParagraph"/>
        <w:numPr>
          <w:ilvl w:val="0"/>
          <w:numId w:val="46"/>
        </w:numPr>
        <w:spacing w:after="0" w:line="360" w:lineRule="auto"/>
        <w:ind w:left="720"/>
        <w:jc w:val="both"/>
        <w:rPr>
          <w:rFonts w:ascii="Tahoma" w:hAnsi="Tahoma" w:cs="Tahoma"/>
          <w:sz w:val="24"/>
          <w:szCs w:val="24"/>
        </w:rPr>
      </w:pPr>
      <w:r w:rsidRPr="00CD1E79">
        <w:rPr>
          <w:rFonts w:ascii="Tahoma" w:hAnsi="Tahoma" w:cs="Tahoma"/>
          <w:sz w:val="24"/>
          <w:szCs w:val="24"/>
        </w:rPr>
        <w:t xml:space="preserve">Keeping in view the developments for Direct-to-Device Communications, TRAI in the recommendations of September 2024 on the service authorisations has recommended use of non-terrestrial network under the scope of ‘Unified’ and ‘Access’ service authorisations, including satellite-based services. </w:t>
      </w:r>
    </w:p>
    <w:p w14:paraId="204E0ABE" w14:textId="77777777" w:rsidR="00812BC0" w:rsidRPr="00CD1E79" w:rsidRDefault="00022EB2" w:rsidP="00812BC0">
      <w:pPr>
        <w:pStyle w:val="ListParagraph"/>
        <w:numPr>
          <w:ilvl w:val="0"/>
          <w:numId w:val="46"/>
        </w:numPr>
        <w:spacing w:after="0" w:line="360" w:lineRule="auto"/>
        <w:ind w:left="720"/>
        <w:jc w:val="both"/>
        <w:rPr>
          <w:rFonts w:ascii="Tahoma" w:hAnsi="Tahoma" w:cs="Tahoma"/>
          <w:sz w:val="24"/>
          <w:szCs w:val="24"/>
        </w:rPr>
      </w:pPr>
      <w:r w:rsidRPr="00CD1E79">
        <w:rPr>
          <w:rFonts w:ascii="Tahoma" w:hAnsi="Tahoma" w:cs="Tahoma"/>
          <w:sz w:val="24"/>
          <w:szCs w:val="24"/>
        </w:rPr>
        <w:t xml:space="preserve">In addition, TRAI is working on initiating a consultation process for Satellite Communication Network (SCN) provider authorisation. </w:t>
      </w:r>
      <w:r w:rsidR="00B14EA4" w:rsidRPr="00CD1E79">
        <w:rPr>
          <w:rFonts w:ascii="Tahoma" w:hAnsi="Tahoma" w:cs="Tahoma"/>
          <w:sz w:val="24"/>
          <w:szCs w:val="24"/>
        </w:rPr>
        <w:t xml:space="preserve">This framework is expected to facilitate service providers to offer satellite-based telecommunication services, including direct-to-device (D2D), without themselves owning a satellite network. </w:t>
      </w:r>
    </w:p>
    <w:p w14:paraId="7DA8E5D8" w14:textId="6CFEDF48" w:rsidR="00812BC0" w:rsidRPr="00CD1E79" w:rsidRDefault="00812BC0" w:rsidP="00812BC0">
      <w:pPr>
        <w:pStyle w:val="ListParagraph"/>
        <w:spacing w:after="0" w:line="360" w:lineRule="auto"/>
        <w:jc w:val="both"/>
        <w:rPr>
          <w:rFonts w:ascii="Tahoma" w:hAnsi="Tahoma" w:cs="Tahoma"/>
          <w:sz w:val="24"/>
          <w:szCs w:val="24"/>
        </w:rPr>
      </w:pPr>
    </w:p>
    <w:p w14:paraId="1775D709" w14:textId="48FE9532" w:rsidR="00812BC0" w:rsidRPr="00CD1E79" w:rsidRDefault="00812BC0" w:rsidP="00CE2F4D">
      <w:pPr>
        <w:pStyle w:val="ListParagraph"/>
        <w:numPr>
          <w:ilvl w:val="0"/>
          <w:numId w:val="49"/>
        </w:numPr>
        <w:spacing w:after="0" w:line="288" w:lineRule="auto"/>
        <w:ind w:left="426" w:hanging="426"/>
        <w:jc w:val="both"/>
        <w:rPr>
          <w:rFonts w:ascii="Tahoma" w:hAnsi="Tahoma" w:cs="Tahoma"/>
          <w:b/>
          <w:bCs/>
          <w:sz w:val="24"/>
          <w:szCs w:val="24"/>
        </w:rPr>
      </w:pPr>
      <w:r w:rsidRPr="00CD1E79">
        <w:rPr>
          <w:rFonts w:ascii="Tahoma" w:hAnsi="Tahoma" w:cs="Tahoma"/>
          <w:b/>
          <w:bCs/>
          <w:sz w:val="24"/>
          <w:szCs w:val="24"/>
        </w:rPr>
        <w:t>Intelligent Transport System (ITS) and Vehicle to Everything (V2X)</w:t>
      </w:r>
    </w:p>
    <w:p w14:paraId="16C7F912" w14:textId="77777777" w:rsidR="00812BC0" w:rsidRPr="00CD1E79" w:rsidRDefault="00812BC0" w:rsidP="00812BC0">
      <w:pPr>
        <w:spacing w:after="0" w:line="360" w:lineRule="auto"/>
        <w:jc w:val="both"/>
        <w:rPr>
          <w:rFonts w:ascii="Tahoma" w:hAnsi="Tahoma" w:cs="Tahoma"/>
          <w:sz w:val="24"/>
          <w:szCs w:val="24"/>
        </w:rPr>
      </w:pPr>
    </w:p>
    <w:p w14:paraId="12EE98AB" w14:textId="0FD761BB" w:rsidR="00CD1E79" w:rsidRDefault="00CD1E79" w:rsidP="00CE2F4D">
      <w:pPr>
        <w:pStyle w:val="ListParagraph"/>
        <w:numPr>
          <w:ilvl w:val="0"/>
          <w:numId w:val="41"/>
        </w:numPr>
        <w:spacing w:after="0" w:line="360" w:lineRule="auto"/>
        <w:ind w:left="357" w:hanging="357"/>
        <w:jc w:val="both"/>
        <w:rPr>
          <w:rFonts w:ascii="Tahoma" w:hAnsi="Tahoma" w:cs="Tahoma"/>
          <w:sz w:val="24"/>
          <w:szCs w:val="24"/>
        </w:rPr>
      </w:pPr>
      <w:r w:rsidRPr="00CD1E79">
        <w:rPr>
          <w:rFonts w:ascii="Tahoma" w:hAnsi="Tahoma" w:cs="Tahoma"/>
          <w:sz w:val="24"/>
          <w:szCs w:val="24"/>
        </w:rPr>
        <w:t>Intelligent Transport Systems (ITS) are smart technologies used to make transportation safer, faster, and more efficient. They use tools like sensors, GPS, cameras, and communication networks to collect and share real-time information about traffic, vehicles, and roads. By allowing vehicles to "talk" to traffic signals, road sensors, other cars, and cloud platforms, ITS/ V2X systems can anticipate collisions, optimize traffic flow, reduce emissions, and lay the groundwork for fully autonomous driving.</w:t>
      </w:r>
    </w:p>
    <w:p w14:paraId="2DD188A2" w14:textId="77777777" w:rsidR="00CE2F4D" w:rsidRDefault="00CE2F4D" w:rsidP="00CE2F4D">
      <w:pPr>
        <w:pStyle w:val="ListParagraph"/>
        <w:spacing w:after="0" w:line="360" w:lineRule="auto"/>
        <w:ind w:left="357"/>
        <w:jc w:val="both"/>
        <w:rPr>
          <w:rFonts w:ascii="Tahoma" w:hAnsi="Tahoma" w:cs="Tahoma"/>
          <w:sz w:val="24"/>
          <w:szCs w:val="24"/>
        </w:rPr>
      </w:pPr>
    </w:p>
    <w:p w14:paraId="32B23F19" w14:textId="77777777" w:rsidR="00CE2F4D" w:rsidRPr="00CE2F4D" w:rsidRDefault="00CD1E79" w:rsidP="00CE2F4D">
      <w:pPr>
        <w:pStyle w:val="ListParagraph"/>
        <w:numPr>
          <w:ilvl w:val="0"/>
          <w:numId w:val="41"/>
        </w:numPr>
        <w:spacing w:after="0" w:line="360" w:lineRule="auto"/>
        <w:ind w:left="357" w:hanging="357"/>
        <w:jc w:val="both"/>
        <w:rPr>
          <w:rFonts w:ascii="Tahoma" w:hAnsi="Tahoma" w:cs="Tahoma"/>
          <w:sz w:val="24"/>
          <w:szCs w:val="24"/>
        </w:rPr>
      </w:pPr>
      <w:r w:rsidRPr="00CE2F4D">
        <w:rPr>
          <w:rFonts w:ascii="Tahoma" w:hAnsi="Tahoma" w:cs="Tahoma"/>
          <w:sz w:val="24"/>
          <w:szCs w:val="24"/>
        </w:rPr>
        <w:t xml:space="preserve">Recently, </w:t>
      </w:r>
      <w:r w:rsidR="00812BC0" w:rsidRPr="00CE2F4D">
        <w:rPr>
          <w:rFonts w:ascii="Tahoma" w:hAnsi="Tahoma" w:cs="Tahoma"/>
          <w:sz w:val="24"/>
          <w:szCs w:val="24"/>
        </w:rPr>
        <w:t>DoT has decided to adopt cellular V2X (C-V2X) as the harmonized Intelligent Transport System (ITS) technology for India. DoT has also decided to allocate 30 MHz spectrum (5,875-5,905 MHz) for the initial deployment of C-V2X technology. DoT is of the view that license-exempt use of On-Board Units (OBUs) may be permitted under defined technical conditions, while authorization may be required for Roadside Units (RSUs) to ensure coordinated deployment and effective interference management</w:t>
      </w:r>
      <w:r w:rsidRPr="00CE2F4D">
        <w:rPr>
          <w:rFonts w:ascii="Tahoma" w:hAnsi="Tahoma" w:cs="Tahoma"/>
          <w:sz w:val="24"/>
          <w:szCs w:val="24"/>
        </w:rPr>
        <w:t>.</w:t>
      </w:r>
      <w:r w:rsidR="00812BC0" w:rsidRPr="00CE2F4D">
        <w:rPr>
          <w:rFonts w:ascii="Tahoma" w:hAnsi="Tahoma" w:cs="Tahoma"/>
          <w:sz w:val="24"/>
          <w:szCs w:val="24"/>
        </w:rPr>
        <w:t xml:space="preserve"> NFAP-2025 also mention</w:t>
      </w:r>
      <w:r w:rsidRPr="00CE2F4D">
        <w:rPr>
          <w:rFonts w:ascii="Tahoma" w:hAnsi="Tahoma" w:cs="Tahoma"/>
          <w:sz w:val="24"/>
          <w:szCs w:val="24"/>
        </w:rPr>
        <w:t>s</w:t>
      </w:r>
      <w:r w:rsidR="00812BC0" w:rsidRPr="00CE2F4D">
        <w:rPr>
          <w:rFonts w:ascii="Tahoma" w:hAnsi="Tahoma" w:cs="Tahoma"/>
          <w:sz w:val="24"/>
          <w:szCs w:val="24"/>
        </w:rPr>
        <w:t xml:space="preserve"> that the frequency band 5,875 to 5,925 MHz may be used for V2X/</w:t>
      </w:r>
      <w:r w:rsidRPr="00CE2F4D">
        <w:rPr>
          <w:rFonts w:ascii="Tahoma" w:hAnsi="Tahoma" w:cs="Tahoma"/>
          <w:sz w:val="24"/>
          <w:szCs w:val="24"/>
        </w:rPr>
        <w:t xml:space="preserve"> </w:t>
      </w:r>
      <w:r w:rsidR="00812BC0" w:rsidRPr="00CE2F4D">
        <w:rPr>
          <w:rFonts w:ascii="Tahoma" w:hAnsi="Tahoma" w:cs="Tahoma"/>
          <w:sz w:val="24"/>
          <w:szCs w:val="24"/>
        </w:rPr>
        <w:t>ITS under Mobile service</w:t>
      </w:r>
      <w:r w:rsidR="00812BC0" w:rsidRPr="00CE2F4D">
        <w:rPr>
          <w:rFonts w:ascii="Tahoma" w:hAnsi="Tahoma" w:cs="Tahoma"/>
          <w:i/>
          <w:iCs/>
          <w:sz w:val="24"/>
          <w:szCs w:val="24"/>
        </w:rPr>
        <w:t xml:space="preserve">. </w:t>
      </w:r>
    </w:p>
    <w:p w14:paraId="5E4BC82D" w14:textId="77777777" w:rsidR="00CE2F4D" w:rsidRPr="00CE2F4D" w:rsidRDefault="00CE2F4D" w:rsidP="00CE2F4D">
      <w:pPr>
        <w:pStyle w:val="ListParagraph"/>
        <w:rPr>
          <w:rFonts w:ascii="Tahoma" w:hAnsi="Tahoma" w:cs="Tahoma"/>
          <w:sz w:val="24"/>
          <w:szCs w:val="24"/>
        </w:rPr>
      </w:pPr>
    </w:p>
    <w:p w14:paraId="758D330A" w14:textId="191AC2DC" w:rsidR="00812BC0" w:rsidRDefault="00812BC0" w:rsidP="00CE2F4D">
      <w:pPr>
        <w:pStyle w:val="ListParagraph"/>
        <w:numPr>
          <w:ilvl w:val="0"/>
          <w:numId w:val="41"/>
        </w:numPr>
        <w:spacing w:after="0" w:line="360" w:lineRule="auto"/>
        <w:ind w:left="357" w:hanging="357"/>
        <w:jc w:val="both"/>
        <w:rPr>
          <w:rFonts w:ascii="Tahoma" w:hAnsi="Tahoma" w:cs="Tahoma"/>
          <w:sz w:val="24"/>
          <w:szCs w:val="24"/>
        </w:rPr>
      </w:pPr>
      <w:r w:rsidRPr="00CE2F4D">
        <w:rPr>
          <w:rFonts w:ascii="Tahoma" w:hAnsi="Tahoma" w:cs="Tahoma"/>
          <w:sz w:val="24"/>
          <w:szCs w:val="24"/>
        </w:rPr>
        <w:t>DoT has sought TRAI</w:t>
      </w:r>
      <w:r w:rsidR="00CD1E79" w:rsidRPr="00CE2F4D">
        <w:rPr>
          <w:rFonts w:ascii="Tahoma" w:hAnsi="Tahoma" w:cs="Tahoma"/>
          <w:sz w:val="24"/>
          <w:szCs w:val="24"/>
        </w:rPr>
        <w:t>’s</w:t>
      </w:r>
      <w:r w:rsidRPr="00CE2F4D">
        <w:rPr>
          <w:rFonts w:ascii="Tahoma" w:hAnsi="Tahoma" w:cs="Tahoma"/>
          <w:sz w:val="24"/>
          <w:szCs w:val="24"/>
        </w:rPr>
        <w:t xml:space="preserve"> recommendations on </w:t>
      </w:r>
      <w:r w:rsidR="00CD1E79" w:rsidRPr="00CE2F4D">
        <w:rPr>
          <w:rFonts w:ascii="Tahoma" w:hAnsi="Tahoma" w:cs="Tahoma"/>
          <w:sz w:val="24"/>
          <w:szCs w:val="24"/>
          <w:lang w:val="en-US"/>
        </w:rPr>
        <w:t xml:space="preserve">Regulatory mechanism (spectrum assignment, authorization and pricing) for Roadside Units (RSUs). </w:t>
      </w:r>
      <w:r w:rsidRPr="00CE2F4D">
        <w:rPr>
          <w:rFonts w:ascii="Tahoma" w:hAnsi="Tahoma" w:cs="Tahoma"/>
          <w:sz w:val="24"/>
          <w:szCs w:val="24"/>
        </w:rPr>
        <w:t xml:space="preserve">TRAI would initiate the consultation process shortly, for wider stakeholder consultation. </w:t>
      </w:r>
    </w:p>
    <w:p w14:paraId="0F7C80E5" w14:textId="77777777" w:rsidR="00FE6169" w:rsidRPr="00FE6169" w:rsidRDefault="00FE6169" w:rsidP="00FE6169">
      <w:pPr>
        <w:pStyle w:val="ListParagraph"/>
        <w:rPr>
          <w:rFonts w:ascii="Tahoma" w:hAnsi="Tahoma" w:cs="Tahoma"/>
          <w:sz w:val="24"/>
          <w:szCs w:val="24"/>
        </w:rPr>
      </w:pPr>
    </w:p>
    <w:p w14:paraId="0CC227C6" w14:textId="35293221" w:rsidR="00FE6169" w:rsidRPr="0046196F" w:rsidRDefault="0046196F" w:rsidP="008D587D">
      <w:pPr>
        <w:pStyle w:val="ListParagraph"/>
        <w:numPr>
          <w:ilvl w:val="0"/>
          <w:numId w:val="49"/>
        </w:numPr>
        <w:spacing w:after="0" w:line="360" w:lineRule="auto"/>
        <w:ind w:left="630" w:hanging="630"/>
        <w:jc w:val="both"/>
        <w:rPr>
          <w:rFonts w:ascii="Tahoma" w:hAnsi="Tahoma" w:cs="Tahoma"/>
          <w:b/>
          <w:bCs/>
          <w:sz w:val="24"/>
          <w:szCs w:val="24"/>
        </w:rPr>
      </w:pPr>
      <w:r w:rsidRPr="0046196F">
        <w:rPr>
          <w:rFonts w:ascii="Tahoma" w:hAnsi="Tahoma" w:cs="Tahoma"/>
          <w:b/>
          <w:bCs/>
          <w:sz w:val="24"/>
          <w:szCs w:val="24"/>
        </w:rPr>
        <w:t>Artificial Intelligence (AI)</w:t>
      </w:r>
    </w:p>
    <w:p w14:paraId="7EC023CD" w14:textId="77777777" w:rsidR="003940EC" w:rsidRPr="003940EC" w:rsidRDefault="003940EC" w:rsidP="003940EC">
      <w:pPr>
        <w:pStyle w:val="ListParagraph"/>
        <w:rPr>
          <w:rFonts w:ascii="Tahoma" w:hAnsi="Tahoma" w:cs="Tahoma"/>
          <w:sz w:val="24"/>
          <w:szCs w:val="24"/>
        </w:rPr>
      </w:pPr>
    </w:p>
    <w:p w14:paraId="4E21B8EC" w14:textId="1EA8E853" w:rsidR="003940EC" w:rsidRDefault="003940EC" w:rsidP="00CE2F4D">
      <w:pPr>
        <w:pStyle w:val="ListParagraph"/>
        <w:numPr>
          <w:ilvl w:val="0"/>
          <w:numId w:val="41"/>
        </w:numPr>
        <w:spacing w:after="0" w:line="360" w:lineRule="auto"/>
        <w:ind w:left="357" w:hanging="357"/>
        <w:jc w:val="both"/>
        <w:rPr>
          <w:rFonts w:ascii="Tahoma" w:hAnsi="Tahoma" w:cs="Tahoma"/>
          <w:sz w:val="24"/>
          <w:szCs w:val="24"/>
        </w:rPr>
      </w:pPr>
      <w:r w:rsidRPr="00FE6169">
        <w:rPr>
          <w:rFonts w:ascii="Tahoma" w:hAnsi="Tahoma" w:cs="Tahoma"/>
          <w:sz w:val="24"/>
          <w:szCs w:val="24"/>
        </w:rPr>
        <w:t xml:space="preserve">Artificial Intelligence (AI) is no longer peripheral to telecom. It is becoming integral to how networks are designed, managed, and experienced. In a country like India with a vast subscriber base of more than 1.3 </w:t>
      </w:r>
      <w:proofErr w:type="gramStart"/>
      <w:r w:rsidRPr="00FE6169">
        <w:rPr>
          <w:rFonts w:ascii="Tahoma" w:hAnsi="Tahoma" w:cs="Tahoma"/>
          <w:sz w:val="24"/>
          <w:szCs w:val="24"/>
        </w:rPr>
        <w:t>billion[</w:t>
      </w:r>
      <w:proofErr w:type="gramEnd"/>
      <w:r w:rsidRPr="00FE6169">
        <w:rPr>
          <w:rFonts w:ascii="Tahoma" w:hAnsi="Tahoma" w:cs="Tahoma"/>
          <w:sz w:val="24"/>
          <w:szCs w:val="24"/>
        </w:rPr>
        <w:footnoteReference w:id="1"/>
      </w:r>
      <w:r w:rsidRPr="00FE6169">
        <w:rPr>
          <w:rFonts w:ascii="Tahoma" w:hAnsi="Tahoma" w:cs="Tahoma"/>
          <w:sz w:val="24"/>
          <w:szCs w:val="24"/>
        </w:rPr>
        <w:t xml:space="preserve">], telecom networks are a key pillar of AI infrastructure. As far as use of AI in telecom is concerned, AI is already enabling self-optimising networks, predictive maintenance, intelligent spectrum management, enhanced cybersecurity, improved energy efficiency, and better customer experience. Also, telecom service providers are effectively using AI, as </w:t>
      </w:r>
      <w:r w:rsidRPr="00FE6169">
        <w:rPr>
          <w:rFonts w:ascii="Tahoma" w:hAnsi="Tahoma" w:cs="Tahoma"/>
          <w:sz w:val="24"/>
          <w:szCs w:val="24"/>
        </w:rPr>
        <w:lastRenderedPageBreak/>
        <w:t>provided in the regulatory framework, for proactive detection of fraud and spam. As we move toward 6G, AI-native network designs will enable highly reliable, low-latency, and more personalised services. This convergence is also foundational to smart future cities, where AI-enabled telecom infrastructure supports data-driven decision-making in governance, intelligent mobility and efficient utilities. However, this transformation also necessitates trust, transparency, interoperability, and robust safeguards, and TRAI remains firmly committed to fostering these principles to ensure a secure, resilient, and accountable telecom ecosystem for India’s next growth story.</w:t>
      </w:r>
    </w:p>
    <w:p w14:paraId="2FEEAC90" w14:textId="77777777" w:rsidR="00C50742" w:rsidRDefault="00C50742" w:rsidP="00C50742">
      <w:pPr>
        <w:pStyle w:val="ListParagraph"/>
        <w:spacing w:after="0" w:line="360" w:lineRule="auto"/>
        <w:ind w:left="357"/>
        <w:jc w:val="both"/>
        <w:rPr>
          <w:rFonts w:ascii="Tahoma" w:hAnsi="Tahoma" w:cs="Tahoma"/>
          <w:sz w:val="24"/>
          <w:szCs w:val="24"/>
        </w:rPr>
      </w:pPr>
    </w:p>
    <w:p w14:paraId="1CC1ECFF" w14:textId="482EA56B" w:rsidR="00C74197" w:rsidRPr="00C50742" w:rsidRDefault="004C5C81" w:rsidP="003E22B5">
      <w:pPr>
        <w:pStyle w:val="ListParagraph"/>
        <w:numPr>
          <w:ilvl w:val="0"/>
          <w:numId w:val="49"/>
        </w:numPr>
        <w:spacing w:after="0" w:line="360" w:lineRule="auto"/>
        <w:ind w:hanging="720"/>
        <w:jc w:val="both"/>
        <w:rPr>
          <w:rFonts w:ascii="Tahoma" w:hAnsi="Tahoma" w:cs="Tahoma"/>
          <w:b/>
          <w:bCs/>
          <w:sz w:val="24"/>
          <w:szCs w:val="24"/>
        </w:rPr>
      </w:pPr>
      <w:r w:rsidRPr="00C50742">
        <w:rPr>
          <w:rFonts w:ascii="Tahoma" w:hAnsi="Tahoma" w:cs="Tahoma"/>
          <w:b/>
          <w:bCs/>
          <w:sz w:val="24"/>
          <w:szCs w:val="24"/>
        </w:rPr>
        <w:t>In</w:t>
      </w:r>
      <w:r w:rsidR="009D6D12" w:rsidRPr="00C50742">
        <w:rPr>
          <w:rFonts w:ascii="Tahoma" w:hAnsi="Tahoma" w:cs="Tahoma"/>
          <w:b/>
          <w:bCs/>
          <w:sz w:val="24"/>
          <w:szCs w:val="24"/>
        </w:rPr>
        <w:t xml:space="preserve"> Building Solutions (IBS)</w:t>
      </w:r>
    </w:p>
    <w:p w14:paraId="3286CF0B" w14:textId="77777777" w:rsidR="009D6D12" w:rsidRPr="00C50742" w:rsidRDefault="009D6D12" w:rsidP="00C50742">
      <w:pPr>
        <w:pStyle w:val="ListParagraph"/>
        <w:numPr>
          <w:ilvl w:val="0"/>
          <w:numId w:val="41"/>
        </w:numPr>
        <w:spacing w:after="0" w:line="360" w:lineRule="auto"/>
        <w:ind w:left="357" w:hanging="357"/>
        <w:jc w:val="both"/>
        <w:rPr>
          <w:rFonts w:ascii="Tahoma" w:hAnsi="Tahoma" w:cs="Tahoma"/>
          <w:sz w:val="24"/>
          <w:szCs w:val="24"/>
        </w:rPr>
      </w:pPr>
      <w:r w:rsidRPr="00C50742">
        <w:rPr>
          <w:rFonts w:ascii="Tahoma" w:hAnsi="Tahoma" w:cs="Tahoma"/>
          <w:sz w:val="24"/>
          <w:szCs w:val="24"/>
        </w:rPr>
        <w:t xml:space="preserve">Today, over 80% of mobile data is used indoors, and </w:t>
      </w:r>
      <w:proofErr w:type="gramStart"/>
      <w:r w:rsidRPr="00C50742">
        <w:rPr>
          <w:rFonts w:ascii="Tahoma" w:hAnsi="Tahoma" w:cs="Tahoma"/>
          <w:sz w:val="24"/>
          <w:szCs w:val="24"/>
        </w:rPr>
        <w:t>high-frequency</w:t>
      </w:r>
      <w:proofErr w:type="gramEnd"/>
      <w:r w:rsidRPr="00C50742">
        <w:rPr>
          <w:rFonts w:ascii="Tahoma" w:hAnsi="Tahoma" w:cs="Tahoma"/>
          <w:sz w:val="24"/>
          <w:szCs w:val="24"/>
        </w:rPr>
        <w:t xml:space="preserve"> 4G and 5G signals are often blocked by modern building materials. Weak indoor coverage reduces consumer experience and service quality. Reliable in-building digital connectivity is now vital for accessing digital services related finance, education, healthcare etc.</w:t>
      </w:r>
    </w:p>
    <w:p w14:paraId="36C91204" w14:textId="0B8AE387" w:rsidR="009D6D12" w:rsidRPr="00D24368" w:rsidRDefault="009D6D12" w:rsidP="00D24368">
      <w:pPr>
        <w:pStyle w:val="ListParagraph"/>
        <w:numPr>
          <w:ilvl w:val="0"/>
          <w:numId w:val="41"/>
        </w:numPr>
        <w:spacing w:after="0" w:line="360" w:lineRule="auto"/>
        <w:ind w:left="357" w:hanging="357"/>
        <w:jc w:val="both"/>
        <w:rPr>
          <w:rFonts w:ascii="Tahoma" w:hAnsi="Tahoma" w:cs="Tahoma"/>
          <w:sz w:val="24"/>
          <w:szCs w:val="24"/>
        </w:rPr>
      </w:pPr>
      <w:proofErr w:type="gramStart"/>
      <w:r w:rsidRPr="00C50742">
        <w:rPr>
          <w:rFonts w:ascii="Tahoma" w:hAnsi="Tahoma" w:cs="Tahoma"/>
          <w:sz w:val="24"/>
          <w:szCs w:val="24"/>
        </w:rPr>
        <w:t>TRAI  issued</w:t>
      </w:r>
      <w:proofErr w:type="gramEnd"/>
      <w:r w:rsidRPr="00C50742">
        <w:rPr>
          <w:rFonts w:ascii="Tahoma" w:hAnsi="Tahoma" w:cs="Tahoma"/>
          <w:sz w:val="24"/>
          <w:szCs w:val="24"/>
        </w:rPr>
        <w:t xml:space="preserve"> the country's first standardised framework to evaluate how effectively buildings are equipped for high-speed, reliable digital access.</w:t>
      </w:r>
      <w:r w:rsidR="00D24368">
        <w:rPr>
          <w:rFonts w:ascii="Tahoma" w:hAnsi="Tahoma" w:cs="Tahoma"/>
          <w:sz w:val="24"/>
          <w:szCs w:val="24"/>
        </w:rPr>
        <w:t xml:space="preserve"> </w:t>
      </w:r>
      <w:r w:rsidRPr="00D24368">
        <w:rPr>
          <w:rFonts w:ascii="Tahoma" w:hAnsi="Tahoma" w:cs="Tahoma"/>
          <w:sz w:val="24"/>
          <w:szCs w:val="24"/>
        </w:rPr>
        <w:t>The framework guides property managers and service providers in planning. implementing, and maintaining future-ready Digital Connectivity Infrastructure (DCI).</w:t>
      </w:r>
    </w:p>
    <w:p w14:paraId="5AC4E5EA" w14:textId="77777777" w:rsidR="009D6D12" w:rsidRPr="00C50742" w:rsidRDefault="009D6D12" w:rsidP="00C50742">
      <w:pPr>
        <w:pStyle w:val="ListParagraph"/>
        <w:numPr>
          <w:ilvl w:val="0"/>
          <w:numId w:val="41"/>
        </w:numPr>
        <w:spacing w:after="0" w:line="360" w:lineRule="auto"/>
        <w:ind w:left="357" w:hanging="357"/>
        <w:jc w:val="both"/>
        <w:rPr>
          <w:rFonts w:ascii="Tahoma" w:hAnsi="Tahoma" w:cs="Tahoma"/>
          <w:sz w:val="24"/>
          <w:szCs w:val="24"/>
        </w:rPr>
      </w:pPr>
      <w:r w:rsidRPr="00C50742">
        <w:rPr>
          <w:rFonts w:ascii="Tahoma" w:hAnsi="Tahoma" w:cs="Tahoma"/>
          <w:sz w:val="24"/>
          <w:szCs w:val="24"/>
        </w:rPr>
        <w:t>It sets property rating criteria: fibre readiness, indoor mobile coverage, Wi-Fi coverage, broadband speeds, and user experience.</w:t>
      </w:r>
    </w:p>
    <w:p w14:paraId="15A3BDE0" w14:textId="633403FB" w:rsidR="009D6D12" w:rsidRDefault="009D6D12" w:rsidP="00310B1A">
      <w:pPr>
        <w:pStyle w:val="ListParagraph"/>
        <w:numPr>
          <w:ilvl w:val="0"/>
          <w:numId w:val="41"/>
        </w:numPr>
        <w:spacing w:after="0" w:line="360" w:lineRule="auto"/>
        <w:ind w:left="357" w:hanging="357"/>
        <w:jc w:val="both"/>
        <w:rPr>
          <w:rFonts w:ascii="Tahoma" w:hAnsi="Tahoma" w:cs="Tahoma"/>
          <w:sz w:val="24"/>
          <w:szCs w:val="24"/>
        </w:rPr>
      </w:pPr>
      <w:r w:rsidRPr="00C50742">
        <w:rPr>
          <w:rFonts w:ascii="Tahoma" w:hAnsi="Tahoma" w:cs="Tahoma"/>
          <w:sz w:val="24"/>
          <w:szCs w:val="24"/>
        </w:rPr>
        <w:t>The manual encourages integrating a strong digital infrastructure from the design stage. It lets buyers, tenants, and businesses make informed decisions based on actual connectivity performance.</w:t>
      </w:r>
      <w:r w:rsidR="00096B37">
        <w:rPr>
          <w:rFonts w:ascii="Tahoma" w:hAnsi="Tahoma" w:cs="Tahoma"/>
          <w:sz w:val="24"/>
          <w:szCs w:val="24"/>
        </w:rPr>
        <w:t xml:space="preserve"> </w:t>
      </w:r>
      <w:r w:rsidRPr="00310B1A">
        <w:rPr>
          <w:rFonts w:ascii="Tahoma" w:hAnsi="Tahoma" w:cs="Tahoma"/>
          <w:sz w:val="24"/>
          <w:szCs w:val="24"/>
        </w:rPr>
        <w:t>This framework is a major step toward the Digital India vision.</w:t>
      </w:r>
    </w:p>
    <w:p w14:paraId="0402D2B8" w14:textId="77777777" w:rsidR="00426CA4" w:rsidRDefault="00426CA4" w:rsidP="00426CA4">
      <w:pPr>
        <w:pStyle w:val="ListParagraph"/>
        <w:spacing w:after="0" w:line="360" w:lineRule="auto"/>
        <w:ind w:left="357"/>
        <w:jc w:val="both"/>
        <w:rPr>
          <w:rFonts w:ascii="Tahoma" w:hAnsi="Tahoma" w:cs="Tahoma"/>
          <w:sz w:val="24"/>
          <w:szCs w:val="24"/>
        </w:rPr>
      </w:pPr>
    </w:p>
    <w:p w14:paraId="24AFD190" w14:textId="77777777" w:rsidR="00426CA4" w:rsidRPr="00426CA4" w:rsidRDefault="00426CA4" w:rsidP="003E22B5">
      <w:pPr>
        <w:pStyle w:val="ListParagraph"/>
        <w:numPr>
          <w:ilvl w:val="0"/>
          <w:numId w:val="49"/>
        </w:numPr>
        <w:spacing w:after="0" w:line="360" w:lineRule="auto"/>
        <w:ind w:hanging="720"/>
        <w:jc w:val="both"/>
        <w:rPr>
          <w:rFonts w:ascii="Tahoma" w:hAnsi="Tahoma" w:cs="Tahoma"/>
          <w:b/>
          <w:bCs/>
          <w:sz w:val="24"/>
          <w:szCs w:val="24"/>
        </w:rPr>
      </w:pPr>
      <w:r w:rsidRPr="00426CA4">
        <w:rPr>
          <w:rFonts w:ascii="Tahoma" w:hAnsi="Tahoma" w:cs="Tahoma"/>
          <w:b/>
          <w:bCs/>
          <w:sz w:val="24"/>
          <w:szCs w:val="24"/>
        </w:rPr>
        <w:t>Quantum Safe Communication</w:t>
      </w:r>
    </w:p>
    <w:p w14:paraId="08073863" w14:textId="77777777" w:rsidR="00426CA4" w:rsidRPr="0069620B" w:rsidRDefault="00426CA4" w:rsidP="0069620B">
      <w:pPr>
        <w:pStyle w:val="ListParagraph"/>
        <w:numPr>
          <w:ilvl w:val="0"/>
          <w:numId w:val="41"/>
        </w:numPr>
        <w:spacing w:after="0" w:line="360" w:lineRule="auto"/>
        <w:ind w:left="357" w:hanging="357"/>
        <w:jc w:val="both"/>
        <w:rPr>
          <w:rFonts w:ascii="Tahoma" w:hAnsi="Tahoma" w:cs="Tahoma"/>
          <w:sz w:val="24"/>
          <w:szCs w:val="24"/>
        </w:rPr>
      </w:pPr>
      <w:r w:rsidRPr="0069620B">
        <w:rPr>
          <w:rFonts w:ascii="Tahoma" w:hAnsi="Tahoma" w:cs="Tahoma"/>
          <w:sz w:val="24"/>
          <w:szCs w:val="24"/>
        </w:rPr>
        <w:t xml:space="preserve">The contemporary digital security, safeguarding banking, government, healthcare, defence, and critical infrastructure, relies extensively on public-key cryptographic methods like RSA and ECC, whose security is grounded in mathematical problems that classical computers cannot efficiently solve. However, the rise of quantum </w:t>
      </w:r>
      <w:r w:rsidRPr="0069620B">
        <w:rPr>
          <w:rFonts w:ascii="Tahoma" w:hAnsi="Tahoma" w:cs="Tahoma"/>
          <w:sz w:val="24"/>
          <w:szCs w:val="24"/>
        </w:rPr>
        <w:lastRenderedPageBreak/>
        <w:t>computing poses a serious challenge to these systems. Algorithms like Shor’s algorithm could enable quantum computers to break widely used encryption methods much faster, making current cryptographic protections vulnerable. Data intercepted today, even if it cannot be decrypted now, could potentially be stored and decrypted in the future once quantum capabilities mature. This creates a “harvest now, decrypt later” risk, where encrypted data collected today could be decoded in the future once quantum technology matures.</w:t>
      </w:r>
    </w:p>
    <w:p w14:paraId="180AF4DA" w14:textId="77777777" w:rsidR="00426CA4" w:rsidRPr="0069620B" w:rsidRDefault="00426CA4" w:rsidP="0069620B">
      <w:pPr>
        <w:pStyle w:val="ListParagraph"/>
        <w:numPr>
          <w:ilvl w:val="0"/>
          <w:numId w:val="41"/>
        </w:numPr>
        <w:spacing w:after="0" w:line="360" w:lineRule="auto"/>
        <w:ind w:left="357" w:hanging="357"/>
        <w:jc w:val="both"/>
        <w:rPr>
          <w:rFonts w:ascii="Tahoma" w:hAnsi="Tahoma" w:cs="Tahoma"/>
          <w:sz w:val="24"/>
          <w:szCs w:val="24"/>
        </w:rPr>
      </w:pPr>
      <w:r w:rsidRPr="0069620B">
        <w:rPr>
          <w:rFonts w:ascii="Tahoma" w:hAnsi="Tahoma" w:cs="Tahoma"/>
          <w:sz w:val="24"/>
          <w:szCs w:val="24"/>
        </w:rPr>
        <w:t>As a result, transitioning to quantum-safe communication is not just a technical upgrade but a matter of national security, economic stability, and digital sovereignty. India has recognized this urgency through initiatives like the ‘National Quantum Mission’, which supports research and collaboration across academia, industry, and government. Efforts are already underway in areas such as quantum key distribution, post-quantum cryptography, alongside emerging standards for quantum-resistant systems.</w:t>
      </w:r>
    </w:p>
    <w:p w14:paraId="775FFC39" w14:textId="77777777" w:rsidR="00426CA4" w:rsidRPr="0069620B" w:rsidRDefault="00426CA4" w:rsidP="0069620B">
      <w:pPr>
        <w:pStyle w:val="ListParagraph"/>
        <w:numPr>
          <w:ilvl w:val="0"/>
          <w:numId w:val="41"/>
        </w:numPr>
        <w:spacing w:after="0" w:line="360" w:lineRule="auto"/>
        <w:ind w:left="357" w:hanging="357"/>
        <w:jc w:val="both"/>
        <w:rPr>
          <w:rFonts w:ascii="Tahoma" w:hAnsi="Tahoma" w:cs="Tahoma"/>
          <w:sz w:val="24"/>
          <w:szCs w:val="24"/>
        </w:rPr>
      </w:pPr>
      <w:r w:rsidRPr="0069620B">
        <w:rPr>
          <w:rFonts w:ascii="Tahoma" w:hAnsi="Tahoma" w:cs="Tahoma"/>
          <w:sz w:val="24"/>
          <w:szCs w:val="24"/>
        </w:rPr>
        <w:t>However, the transition involves more than technological development. It requires addressing regulatory, standardization, and interoperability challenges across complex telecom networks. A phased and coordinated migration strategy is essential, involving multiple stakeholders.</w:t>
      </w:r>
    </w:p>
    <w:p w14:paraId="385C1D47" w14:textId="77777777" w:rsidR="00426CA4" w:rsidRPr="0069620B" w:rsidRDefault="00426CA4" w:rsidP="003F3710">
      <w:pPr>
        <w:pStyle w:val="ListParagraph"/>
        <w:spacing w:after="0" w:line="360" w:lineRule="auto"/>
        <w:ind w:left="357"/>
        <w:jc w:val="both"/>
        <w:rPr>
          <w:rFonts w:ascii="Tahoma" w:hAnsi="Tahoma" w:cs="Tahoma"/>
          <w:sz w:val="24"/>
          <w:szCs w:val="24"/>
        </w:rPr>
      </w:pPr>
    </w:p>
    <w:p w14:paraId="40DC0F53" w14:textId="77777777" w:rsidR="00426CA4" w:rsidRPr="003F3710" w:rsidRDefault="00426CA4" w:rsidP="003F3710">
      <w:pPr>
        <w:pStyle w:val="ListParagraph"/>
        <w:numPr>
          <w:ilvl w:val="0"/>
          <w:numId w:val="49"/>
        </w:numPr>
        <w:spacing w:after="0" w:line="360" w:lineRule="auto"/>
        <w:ind w:hanging="720"/>
        <w:jc w:val="both"/>
        <w:rPr>
          <w:rFonts w:ascii="Tahoma" w:hAnsi="Tahoma" w:cs="Tahoma"/>
          <w:b/>
          <w:bCs/>
          <w:sz w:val="24"/>
          <w:szCs w:val="24"/>
        </w:rPr>
      </w:pPr>
      <w:r w:rsidRPr="003F3710">
        <w:rPr>
          <w:rFonts w:ascii="Tahoma" w:hAnsi="Tahoma" w:cs="Tahoma"/>
          <w:b/>
          <w:bCs/>
          <w:sz w:val="24"/>
          <w:szCs w:val="24"/>
        </w:rPr>
        <w:t>Data Centres</w:t>
      </w:r>
    </w:p>
    <w:p w14:paraId="5544B785" w14:textId="77777777" w:rsidR="00426CA4" w:rsidRPr="0069620B" w:rsidRDefault="00426CA4" w:rsidP="0069620B">
      <w:pPr>
        <w:pStyle w:val="ListParagraph"/>
        <w:numPr>
          <w:ilvl w:val="0"/>
          <w:numId w:val="41"/>
        </w:numPr>
        <w:spacing w:after="0" w:line="360" w:lineRule="auto"/>
        <w:ind w:left="357" w:hanging="357"/>
        <w:jc w:val="both"/>
        <w:rPr>
          <w:rFonts w:ascii="Tahoma" w:hAnsi="Tahoma" w:cs="Tahoma"/>
          <w:sz w:val="24"/>
          <w:szCs w:val="24"/>
        </w:rPr>
      </w:pPr>
      <w:r w:rsidRPr="0069620B">
        <w:rPr>
          <w:rFonts w:ascii="Tahoma" w:hAnsi="Tahoma" w:cs="Tahoma"/>
          <w:sz w:val="24"/>
          <w:szCs w:val="24"/>
        </w:rPr>
        <w:t>Data centres are the backbone of the digital economy, enabling the storage, processing, and seamless flow of vast amounts of data that power everything from cloud computing and artificial intelligence to e-commerce and digital public services. Beyond their technical importance, data centres drive economic growth by attracting investment, creating jobs, and strengthening a country’s digital sovereignty, making them essential infrastructure in an increasingly data-driven world. As per the Indian Economic Survey 2026, India’s data centre capacity is projected to reach about 8 gigawatts (GW) by 2030, from 1.4 gigawatts (GW) as of Q2 of 2025.</w:t>
      </w:r>
    </w:p>
    <w:p w14:paraId="48415763" w14:textId="77777777" w:rsidR="00426CA4" w:rsidRPr="0069620B" w:rsidRDefault="00426CA4" w:rsidP="0069620B">
      <w:pPr>
        <w:pStyle w:val="ListParagraph"/>
        <w:numPr>
          <w:ilvl w:val="0"/>
          <w:numId w:val="41"/>
        </w:numPr>
        <w:spacing w:after="0" w:line="360" w:lineRule="auto"/>
        <w:ind w:left="357" w:hanging="357"/>
        <w:jc w:val="both"/>
        <w:rPr>
          <w:rFonts w:ascii="Tahoma" w:hAnsi="Tahoma" w:cs="Tahoma"/>
          <w:sz w:val="24"/>
          <w:szCs w:val="24"/>
        </w:rPr>
      </w:pPr>
      <w:r w:rsidRPr="0069620B">
        <w:rPr>
          <w:rFonts w:ascii="Tahoma" w:hAnsi="Tahoma" w:cs="Tahoma"/>
          <w:sz w:val="24"/>
          <w:szCs w:val="24"/>
        </w:rPr>
        <w:t xml:space="preserve">TRAI has taken significant steps to strengthen India’s data economy and digital infrastructure through forward-looking regulatory reforms. In November 2022, TRAI issued recommendations to promote the growth of data centres, content </w:t>
      </w:r>
      <w:r w:rsidRPr="0069620B">
        <w:rPr>
          <w:rFonts w:ascii="Tahoma" w:hAnsi="Tahoma" w:cs="Tahoma"/>
          <w:sz w:val="24"/>
          <w:szCs w:val="24"/>
        </w:rPr>
        <w:lastRenderedPageBreak/>
        <w:t>delivery networks (CDNs), and interconnect exchanges. These measures aim to boost data sovereignty, reduce latency, and encourage infrastructure development through supportive policies and standards.</w:t>
      </w:r>
    </w:p>
    <w:p w14:paraId="0DC2444A" w14:textId="77777777" w:rsidR="00426CA4" w:rsidRDefault="00426CA4" w:rsidP="0069620B">
      <w:pPr>
        <w:pStyle w:val="ListParagraph"/>
        <w:numPr>
          <w:ilvl w:val="0"/>
          <w:numId w:val="41"/>
        </w:numPr>
        <w:spacing w:after="0" w:line="360" w:lineRule="auto"/>
        <w:ind w:left="357" w:hanging="357"/>
        <w:jc w:val="both"/>
        <w:rPr>
          <w:rFonts w:ascii="Tahoma" w:hAnsi="Tahoma" w:cs="Tahoma"/>
          <w:sz w:val="24"/>
          <w:szCs w:val="24"/>
        </w:rPr>
      </w:pPr>
      <w:r w:rsidRPr="0069620B">
        <w:rPr>
          <w:rFonts w:ascii="Tahoma" w:hAnsi="Tahoma" w:cs="Tahoma"/>
          <w:sz w:val="24"/>
          <w:szCs w:val="24"/>
        </w:rPr>
        <w:t>Building on this, the recent TRAI recommendations of February 2025 on the “Terms and Conditions of Network Authorisations under the Telecommunications Act, 2023” introduce key reforms for modern digital networks. These include a new framework for cloud-hosted telecom networks to support network-as-a-service models, exemption of CDNs from licensing to speed up edge deployment, and a simplified approach for Internet Exchange Points to improve domestic traffic routing and reduce costs. These initiatives are designed to attract investment, improve resilience, and position India as a global hub for digital connectivity.</w:t>
      </w:r>
    </w:p>
    <w:p w14:paraId="65C1135C" w14:textId="77777777" w:rsidR="00005E3F" w:rsidRDefault="00005E3F" w:rsidP="00005E3F">
      <w:pPr>
        <w:pStyle w:val="ListParagraph"/>
        <w:spacing w:after="0" w:line="360" w:lineRule="auto"/>
        <w:ind w:left="357"/>
        <w:jc w:val="both"/>
        <w:rPr>
          <w:rFonts w:ascii="Tahoma" w:hAnsi="Tahoma" w:cs="Tahoma"/>
          <w:sz w:val="24"/>
          <w:szCs w:val="24"/>
        </w:rPr>
      </w:pPr>
    </w:p>
    <w:p w14:paraId="1897E7EB" w14:textId="7DDDFAAA" w:rsidR="00005E3F" w:rsidRPr="00005E3F" w:rsidRDefault="00005E3F" w:rsidP="00CF7C46">
      <w:pPr>
        <w:pStyle w:val="ListParagraph"/>
        <w:numPr>
          <w:ilvl w:val="0"/>
          <w:numId w:val="49"/>
        </w:numPr>
        <w:spacing w:after="0" w:line="360" w:lineRule="auto"/>
        <w:ind w:hanging="720"/>
        <w:jc w:val="both"/>
        <w:rPr>
          <w:rFonts w:ascii="Tahoma" w:hAnsi="Tahoma" w:cs="Tahoma"/>
          <w:b/>
          <w:bCs/>
          <w:sz w:val="24"/>
          <w:szCs w:val="24"/>
        </w:rPr>
      </w:pPr>
      <w:r w:rsidRPr="00005E3F">
        <w:rPr>
          <w:rFonts w:ascii="Tahoma" w:hAnsi="Tahoma" w:cs="Tahoma"/>
          <w:b/>
          <w:bCs/>
          <w:sz w:val="24"/>
          <w:szCs w:val="24"/>
        </w:rPr>
        <w:t>Smart Cities</w:t>
      </w:r>
    </w:p>
    <w:p w14:paraId="14461684" w14:textId="3B108E62" w:rsidR="009943E1" w:rsidRPr="00CF7C46" w:rsidRDefault="00005E3F" w:rsidP="009943E1">
      <w:pPr>
        <w:pStyle w:val="ListParagraph"/>
        <w:spacing w:after="0" w:line="360" w:lineRule="auto"/>
        <w:ind w:left="357"/>
        <w:jc w:val="both"/>
        <w:rPr>
          <w:rFonts w:ascii="Tahoma" w:hAnsi="Tahoma" w:cs="Tahoma"/>
          <w:sz w:val="24"/>
          <w:szCs w:val="24"/>
        </w:rPr>
      </w:pPr>
      <w:r w:rsidRPr="00CF7C46">
        <w:rPr>
          <w:rFonts w:ascii="Tahoma" w:hAnsi="Tahoma" w:cs="Tahoma"/>
          <w:sz w:val="24"/>
          <w:szCs w:val="24"/>
        </w:rPr>
        <w:t>A smart sustainable city is an innovative city that uses information and communication technologies and other means to improve quality of life, efficiency of urban operation &amp; services, and competitiveness, while ensuring that it meets the needs of present and future generations with respect to economic, social, environmental as well as cultural aspects.”</w:t>
      </w:r>
    </w:p>
    <w:p w14:paraId="395F0193" w14:textId="567E33E9" w:rsidR="00121374" w:rsidRPr="00CF7C46" w:rsidRDefault="008F1A09" w:rsidP="00EF24CC">
      <w:pPr>
        <w:pStyle w:val="ListParagraph"/>
        <w:numPr>
          <w:ilvl w:val="3"/>
          <w:numId w:val="51"/>
        </w:numPr>
        <w:spacing w:line="360" w:lineRule="auto"/>
        <w:jc w:val="both"/>
        <w:rPr>
          <w:rFonts w:ascii="Tahoma" w:hAnsi="Tahoma" w:cs="Tahoma"/>
          <w:sz w:val="24"/>
          <w:szCs w:val="24"/>
        </w:rPr>
      </w:pPr>
      <w:r w:rsidRPr="00CF7C46">
        <w:rPr>
          <w:rFonts w:ascii="Tahoma" w:hAnsi="Tahoma" w:cs="Tahoma"/>
          <w:sz w:val="24"/>
          <w:szCs w:val="24"/>
        </w:rPr>
        <w:t xml:space="preserve">A Smart Sustainable City is a city that leverages the ICT infrastructure in an adaptable, reliable, scalable, accessible, secure, safe and resilient manner </w:t>
      </w:r>
      <w:proofErr w:type="gramStart"/>
      <w:r w:rsidRPr="00CF7C46">
        <w:rPr>
          <w:rFonts w:ascii="Tahoma" w:hAnsi="Tahoma" w:cs="Tahoma"/>
          <w:sz w:val="24"/>
          <w:szCs w:val="24"/>
        </w:rPr>
        <w:t>in order to</w:t>
      </w:r>
      <w:proofErr w:type="gramEnd"/>
      <w:r w:rsidR="009572C0" w:rsidRPr="00CF7C46">
        <w:rPr>
          <w:rFonts w:ascii="Tahoma" w:hAnsi="Tahoma" w:cs="Tahoma"/>
          <w:sz w:val="24"/>
          <w:szCs w:val="24"/>
        </w:rPr>
        <w:t xml:space="preserve"> i</w:t>
      </w:r>
      <w:r w:rsidR="00121374" w:rsidRPr="00CF7C46">
        <w:rPr>
          <w:rFonts w:ascii="Tahoma" w:hAnsi="Tahoma" w:cs="Tahoma"/>
          <w:sz w:val="24"/>
          <w:szCs w:val="24"/>
        </w:rPr>
        <w:t xml:space="preserve">mprove the Quality of Life of its </w:t>
      </w:r>
      <w:r w:rsidR="009549A7" w:rsidRPr="00CF7C46">
        <w:rPr>
          <w:rFonts w:ascii="Tahoma" w:hAnsi="Tahoma" w:cs="Tahoma"/>
          <w:sz w:val="24"/>
          <w:szCs w:val="24"/>
        </w:rPr>
        <w:t>c</w:t>
      </w:r>
      <w:r w:rsidR="00121374" w:rsidRPr="00CF7C46">
        <w:rPr>
          <w:rFonts w:ascii="Tahoma" w:hAnsi="Tahoma" w:cs="Tahoma"/>
          <w:sz w:val="24"/>
          <w:szCs w:val="24"/>
        </w:rPr>
        <w:t>itizens</w:t>
      </w:r>
      <w:r w:rsidR="00EF24CC" w:rsidRPr="00CF7C46">
        <w:rPr>
          <w:rFonts w:ascii="Tahoma" w:hAnsi="Tahoma" w:cs="Tahoma"/>
          <w:sz w:val="24"/>
          <w:szCs w:val="24"/>
        </w:rPr>
        <w:t xml:space="preserve">, </w:t>
      </w:r>
      <w:r w:rsidR="00121374" w:rsidRPr="00CF7C46">
        <w:rPr>
          <w:rFonts w:ascii="Tahoma" w:hAnsi="Tahoma" w:cs="Tahoma"/>
          <w:sz w:val="24"/>
          <w:szCs w:val="24"/>
        </w:rPr>
        <w:t>economic growth</w:t>
      </w:r>
      <w:r w:rsidR="00EF24CC" w:rsidRPr="00CF7C46">
        <w:rPr>
          <w:rFonts w:ascii="Tahoma" w:hAnsi="Tahoma" w:cs="Tahoma"/>
          <w:sz w:val="24"/>
          <w:szCs w:val="24"/>
        </w:rPr>
        <w:t>, i</w:t>
      </w:r>
      <w:r w:rsidR="00121374" w:rsidRPr="00CF7C46">
        <w:rPr>
          <w:rFonts w:ascii="Tahoma" w:hAnsi="Tahoma" w:cs="Tahoma"/>
          <w:sz w:val="24"/>
          <w:szCs w:val="24"/>
        </w:rPr>
        <w:t>mprove the well-being of its citizens including medical care, welfare, physical safety and education.</w:t>
      </w:r>
    </w:p>
    <w:p w14:paraId="0CCC3D46" w14:textId="4D654A77" w:rsidR="00121374" w:rsidRPr="00CF7C46" w:rsidRDefault="00121374" w:rsidP="00121374">
      <w:pPr>
        <w:pStyle w:val="ListParagraph"/>
        <w:numPr>
          <w:ilvl w:val="3"/>
          <w:numId w:val="51"/>
        </w:numPr>
        <w:spacing w:line="360" w:lineRule="auto"/>
        <w:jc w:val="both"/>
        <w:rPr>
          <w:rFonts w:ascii="Tahoma" w:hAnsi="Tahoma" w:cs="Tahoma"/>
          <w:sz w:val="24"/>
          <w:szCs w:val="24"/>
        </w:rPr>
      </w:pPr>
      <w:r w:rsidRPr="00CF7C46">
        <w:rPr>
          <w:rFonts w:ascii="Tahoma" w:hAnsi="Tahoma" w:cs="Tahoma"/>
          <w:sz w:val="24"/>
          <w:szCs w:val="24"/>
        </w:rPr>
        <w:t>Establish an environmentally responsible and sustainable approach.</w:t>
      </w:r>
    </w:p>
    <w:p w14:paraId="12574F58" w14:textId="77777777" w:rsidR="00121374" w:rsidRPr="00CF7C46" w:rsidRDefault="00121374" w:rsidP="00121374">
      <w:pPr>
        <w:pStyle w:val="ListParagraph"/>
        <w:numPr>
          <w:ilvl w:val="3"/>
          <w:numId w:val="51"/>
        </w:numPr>
        <w:spacing w:line="360" w:lineRule="auto"/>
        <w:jc w:val="both"/>
        <w:rPr>
          <w:rFonts w:ascii="Tahoma" w:hAnsi="Tahoma" w:cs="Tahoma"/>
          <w:sz w:val="24"/>
          <w:szCs w:val="24"/>
        </w:rPr>
      </w:pPr>
      <w:r w:rsidRPr="00CF7C46">
        <w:rPr>
          <w:rFonts w:ascii="Tahoma" w:hAnsi="Tahoma" w:cs="Tahoma"/>
          <w:sz w:val="24"/>
          <w:szCs w:val="24"/>
        </w:rPr>
        <w:t>Streamline physical infrastructure-based services such as transportation (mobility), water, utilities (energy), telecommunications and manufacturing sectors.</w:t>
      </w:r>
    </w:p>
    <w:p w14:paraId="3A8B9D30" w14:textId="77777777" w:rsidR="00121374" w:rsidRPr="00CF7C46" w:rsidRDefault="00121374" w:rsidP="00121374">
      <w:pPr>
        <w:pStyle w:val="ListParagraph"/>
        <w:numPr>
          <w:ilvl w:val="3"/>
          <w:numId w:val="51"/>
        </w:numPr>
        <w:spacing w:line="360" w:lineRule="auto"/>
        <w:jc w:val="both"/>
        <w:rPr>
          <w:rFonts w:ascii="Tahoma" w:hAnsi="Tahoma" w:cs="Tahoma"/>
          <w:sz w:val="24"/>
          <w:szCs w:val="24"/>
        </w:rPr>
      </w:pPr>
      <w:r w:rsidRPr="00CF7C46">
        <w:rPr>
          <w:rFonts w:ascii="Tahoma" w:hAnsi="Tahoma" w:cs="Tahoma"/>
          <w:sz w:val="24"/>
          <w:szCs w:val="24"/>
        </w:rPr>
        <w:t xml:space="preserve">Reinforce prevention and handling functionality for natural and man-made disasters including the ability to address the impacts of climate change. </w:t>
      </w:r>
    </w:p>
    <w:p w14:paraId="191A1973" w14:textId="77777777" w:rsidR="00121374" w:rsidRPr="00CF7C46" w:rsidRDefault="00121374" w:rsidP="00121374">
      <w:pPr>
        <w:pStyle w:val="ListParagraph"/>
        <w:numPr>
          <w:ilvl w:val="3"/>
          <w:numId w:val="51"/>
        </w:numPr>
        <w:spacing w:line="360" w:lineRule="auto"/>
        <w:jc w:val="both"/>
        <w:rPr>
          <w:rFonts w:ascii="Tahoma" w:hAnsi="Tahoma" w:cs="Tahoma"/>
          <w:sz w:val="24"/>
          <w:szCs w:val="24"/>
        </w:rPr>
      </w:pPr>
      <w:r w:rsidRPr="00CF7C46">
        <w:rPr>
          <w:rFonts w:ascii="Tahoma" w:hAnsi="Tahoma" w:cs="Tahoma"/>
          <w:sz w:val="24"/>
          <w:szCs w:val="24"/>
        </w:rPr>
        <w:t xml:space="preserve">Provide effective and well balanced regulatory, compliance and governance mechanisms with appropriate and equitable policies and processes in a standardized manner. </w:t>
      </w:r>
    </w:p>
    <w:p w14:paraId="5439878F" w14:textId="3E126419" w:rsidR="008E6D3C" w:rsidRPr="00CF7C46" w:rsidRDefault="008E6D3C" w:rsidP="00121374">
      <w:pPr>
        <w:pStyle w:val="ListParagraph"/>
        <w:numPr>
          <w:ilvl w:val="3"/>
          <w:numId w:val="51"/>
        </w:numPr>
        <w:spacing w:line="360" w:lineRule="auto"/>
        <w:jc w:val="both"/>
        <w:rPr>
          <w:rFonts w:ascii="Tahoma" w:hAnsi="Tahoma" w:cs="Tahoma"/>
          <w:sz w:val="24"/>
          <w:szCs w:val="24"/>
        </w:rPr>
      </w:pPr>
      <w:r w:rsidRPr="00CF7C46">
        <w:rPr>
          <w:rFonts w:ascii="Tahoma" w:hAnsi="Tahoma" w:cs="Tahoma"/>
          <w:sz w:val="24"/>
          <w:szCs w:val="24"/>
        </w:rPr>
        <w:lastRenderedPageBreak/>
        <w:t>The Government of India launched the Smart Cities Mission (SCM) in 2015, selecting 100 cities to undergo digital transformation.</w:t>
      </w:r>
    </w:p>
    <w:p w14:paraId="4BE0FAC9" w14:textId="444D20EF" w:rsidR="000A0DDA" w:rsidRPr="00CF7C46" w:rsidRDefault="000A0DDA" w:rsidP="000A0DDA">
      <w:pPr>
        <w:pStyle w:val="ListParagraph"/>
        <w:numPr>
          <w:ilvl w:val="3"/>
          <w:numId w:val="51"/>
        </w:numPr>
        <w:spacing w:line="360" w:lineRule="auto"/>
        <w:jc w:val="both"/>
        <w:rPr>
          <w:rFonts w:ascii="Tahoma" w:hAnsi="Tahoma" w:cs="Tahoma"/>
          <w:sz w:val="24"/>
          <w:szCs w:val="24"/>
        </w:rPr>
      </w:pPr>
      <w:r w:rsidRPr="00CF7C46">
        <w:rPr>
          <w:rFonts w:ascii="Tahoma" w:hAnsi="Tahoma" w:cs="Tahoma"/>
          <w:sz w:val="24"/>
          <w:szCs w:val="24"/>
        </w:rPr>
        <w:t xml:space="preserve">Integrated Command and Control Centres (ICCC): All 100 Smart Cities have operational ICCCs, which utilize data for making informed decisions. These ICCCs functioned as COVID war rooms during the pandemic and have significantly improved city operations such as transport, water supply, and solid waste management by integrating emerging technologies like </w:t>
      </w:r>
      <w:r w:rsidR="008A3E06" w:rsidRPr="00CF7C46">
        <w:rPr>
          <w:rFonts w:ascii="Tahoma" w:hAnsi="Tahoma" w:cs="Tahoma"/>
          <w:sz w:val="24"/>
          <w:szCs w:val="24"/>
        </w:rPr>
        <w:t xml:space="preserve">5G, </w:t>
      </w:r>
      <w:r w:rsidRPr="00CF7C46">
        <w:rPr>
          <w:rFonts w:ascii="Tahoma" w:hAnsi="Tahoma" w:cs="Tahoma"/>
          <w:sz w:val="24"/>
          <w:szCs w:val="24"/>
        </w:rPr>
        <w:t xml:space="preserve">AI, </w:t>
      </w:r>
      <w:proofErr w:type="gramStart"/>
      <w:r w:rsidRPr="00CF7C46">
        <w:rPr>
          <w:rFonts w:ascii="Tahoma" w:hAnsi="Tahoma" w:cs="Tahoma"/>
          <w:sz w:val="24"/>
          <w:szCs w:val="24"/>
        </w:rPr>
        <w:t>IoT,  Data</w:t>
      </w:r>
      <w:proofErr w:type="gramEnd"/>
      <w:r w:rsidRPr="00CF7C46">
        <w:rPr>
          <w:rFonts w:ascii="Tahoma" w:hAnsi="Tahoma" w:cs="Tahoma"/>
          <w:sz w:val="24"/>
          <w:szCs w:val="24"/>
        </w:rPr>
        <w:t xml:space="preserve"> Analytics</w:t>
      </w:r>
      <w:r w:rsidR="00D24E44" w:rsidRPr="00CF7C46">
        <w:rPr>
          <w:rFonts w:ascii="Tahoma" w:hAnsi="Tahoma" w:cs="Tahoma"/>
          <w:sz w:val="24"/>
          <w:szCs w:val="24"/>
        </w:rPr>
        <w:t xml:space="preserve"> for </w:t>
      </w:r>
      <w:r w:rsidR="008D45BC" w:rsidRPr="00CF7C46">
        <w:rPr>
          <w:rFonts w:ascii="Tahoma" w:hAnsi="Tahoma" w:cs="Tahoma"/>
          <w:sz w:val="24"/>
          <w:szCs w:val="24"/>
        </w:rPr>
        <w:t>management of</w:t>
      </w:r>
      <w:r w:rsidR="00D24E44" w:rsidRPr="00CF7C46">
        <w:rPr>
          <w:rFonts w:ascii="Tahoma" w:hAnsi="Tahoma" w:cs="Tahoma"/>
          <w:sz w:val="24"/>
          <w:szCs w:val="24"/>
        </w:rPr>
        <w:t xml:space="preserve"> mobility</w:t>
      </w:r>
      <w:r w:rsidR="008D45BC" w:rsidRPr="00CF7C46">
        <w:rPr>
          <w:rFonts w:ascii="Tahoma" w:hAnsi="Tahoma" w:cs="Tahoma"/>
          <w:sz w:val="24"/>
          <w:szCs w:val="24"/>
        </w:rPr>
        <w:t>, utilities,</w:t>
      </w:r>
      <w:r w:rsidR="00D24E44" w:rsidRPr="00CF7C46">
        <w:rPr>
          <w:rFonts w:ascii="Tahoma" w:hAnsi="Tahoma" w:cs="Tahoma"/>
          <w:sz w:val="24"/>
          <w:szCs w:val="24"/>
        </w:rPr>
        <w:t xml:space="preserve"> sol</w:t>
      </w:r>
      <w:r w:rsidR="008D45BC" w:rsidRPr="00CF7C46">
        <w:rPr>
          <w:rFonts w:ascii="Tahoma" w:hAnsi="Tahoma" w:cs="Tahoma"/>
          <w:sz w:val="24"/>
          <w:szCs w:val="24"/>
        </w:rPr>
        <w:t>i</w:t>
      </w:r>
      <w:r w:rsidR="00D24E44" w:rsidRPr="00CF7C46">
        <w:rPr>
          <w:rFonts w:ascii="Tahoma" w:hAnsi="Tahoma" w:cs="Tahoma"/>
          <w:sz w:val="24"/>
          <w:szCs w:val="24"/>
        </w:rPr>
        <w:t>d waste</w:t>
      </w:r>
      <w:r w:rsidR="008F19B6" w:rsidRPr="00CF7C46">
        <w:rPr>
          <w:rFonts w:ascii="Tahoma" w:hAnsi="Tahoma" w:cs="Tahoma"/>
          <w:sz w:val="24"/>
          <w:szCs w:val="24"/>
        </w:rPr>
        <w:t>, healthcare and education</w:t>
      </w:r>
      <w:r w:rsidRPr="00CF7C46">
        <w:rPr>
          <w:rFonts w:ascii="Tahoma" w:hAnsi="Tahoma" w:cs="Tahoma"/>
          <w:sz w:val="24"/>
          <w:szCs w:val="24"/>
        </w:rPr>
        <w:t>.</w:t>
      </w:r>
    </w:p>
    <w:p w14:paraId="03EC680F" w14:textId="77777777" w:rsidR="00543DD2" w:rsidRPr="00CF7C46" w:rsidRDefault="00543DD2" w:rsidP="00543DD2">
      <w:pPr>
        <w:pStyle w:val="ListParagraph"/>
        <w:spacing w:line="360" w:lineRule="auto"/>
        <w:ind w:left="680"/>
        <w:jc w:val="both"/>
        <w:rPr>
          <w:rFonts w:ascii="Tahoma" w:hAnsi="Tahoma" w:cs="Tahoma"/>
          <w:sz w:val="24"/>
          <w:szCs w:val="24"/>
        </w:rPr>
      </w:pPr>
    </w:p>
    <w:p w14:paraId="1F60C139" w14:textId="77777777" w:rsidR="00543DD2" w:rsidRPr="00CF7C46" w:rsidRDefault="00543DD2" w:rsidP="00063196">
      <w:pPr>
        <w:pStyle w:val="ListParagraph"/>
        <w:numPr>
          <w:ilvl w:val="3"/>
          <w:numId w:val="51"/>
        </w:numPr>
        <w:spacing w:line="360" w:lineRule="auto"/>
        <w:jc w:val="both"/>
        <w:rPr>
          <w:rFonts w:ascii="Tahoma" w:hAnsi="Tahoma" w:cs="Tahoma"/>
          <w:sz w:val="24"/>
          <w:szCs w:val="24"/>
        </w:rPr>
      </w:pPr>
      <w:r w:rsidRPr="00CF7C46">
        <w:rPr>
          <w:rFonts w:ascii="Tahoma" w:hAnsi="Tahoma" w:cs="Tahoma"/>
          <w:sz w:val="24"/>
          <w:szCs w:val="24"/>
        </w:rPr>
        <w:t>Through low latency, high-speed connectivity, and massive device support, 5G will facilitate seamless data exchange across city systems, enabling proactive governance, predictive maintenance of infrastructure, and improved quality of life for citizens.</w:t>
      </w:r>
    </w:p>
    <w:p w14:paraId="4C8FEE06" w14:textId="77777777" w:rsidR="00134AB4" w:rsidRPr="00CF7C46" w:rsidRDefault="00134AB4" w:rsidP="00063196">
      <w:pPr>
        <w:pStyle w:val="ListParagraph"/>
        <w:spacing w:line="360" w:lineRule="auto"/>
        <w:jc w:val="both"/>
        <w:rPr>
          <w:rFonts w:ascii="Tahoma" w:hAnsi="Tahoma" w:cs="Tahoma"/>
          <w:sz w:val="24"/>
          <w:szCs w:val="24"/>
        </w:rPr>
      </w:pPr>
    </w:p>
    <w:p w14:paraId="4DB25FDC" w14:textId="194F108B" w:rsidR="00AE0AC6" w:rsidRPr="00AE0AC6" w:rsidRDefault="00AE0AC6" w:rsidP="009943E1">
      <w:pPr>
        <w:pStyle w:val="ListParagraph"/>
        <w:spacing w:after="0" w:line="360" w:lineRule="auto"/>
        <w:ind w:left="357"/>
        <w:jc w:val="both"/>
        <w:rPr>
          <w:rFonts w:ascii="Tahoma" w:hAnsi="Tahoma" w:cs="Tahoma"/>
          <w:sz w:val="24"/>
          <w:szCs w:val="24"/>
        </w:rPr>
      </w:pPr>
    </w:p>
    <w:p w14:paraId="4C64063C" w14:textId="77777777" w:rsidR="009C03DD" w:rsidRPr="009C03DD" w:rsidRDefault="009C03DD" w:rsidP="009C03DD">
      <w:pPr>
        <w:spacing w:after="0" w:line="360" w:lineRule="auto"/>
        <w:jc w:val="both"/>
        <w:rPr>
          <w:rFonts w:ascii="Tahoma" w:hAnsi="Tahoma" w:cs="Tahoma"/>
          <w:sz w:val="24"/>
          <w:szCs w:val="24"/>
        </w:rPr>
      </w:pPr>
    </w:p>
    <w:p w14:paraId="43E19DB7" w14:textId="77777777" w:rsidR="00812BC0" w:rsidRPr="00CD1E79" w:rsidRDefault="00812BC0" w:rsidP="00812BC0">
      <w:pPr>
        <w:spacing w:after="0" w:line="360" w:lineRule="auto"/>
        <w:jc w:val="both"/>
        <w:rPr>
          <w:rFonts w:ascii="Tahoma" w:hAnsi="Tahoma" w:cs="Tahoma"/>
          <w:sz w:val="24"/>
          <w:szCs w:val="24"/>
        </w:rPr>
      </w:pPr>
    </w:p>
    <w:p w14:paraId="1EE38F9D" w14:textId="7936E9F4" w:rsidR="00022EB2" w:rsidRPr="00CD1E79" w:rsidRDefault="00022EB2" w:rsidP="00B14EA4">
      <w:pPr>
        <w:pStyle w:val="ListParagraph"/>
        <w:spacing w:after="0" w:line="360" w:lineRule="auto"/>
        <w:ind w:left="360"/>
        <w:jc w:val="both"/>
        <w:rPr>
          <w:rFonts w:ascii="Tahoma" w:hAnsi="Tahoma" w:cs="Tahoma"/>
          <w:sz w:val="24"/>
          <w:szCs w:val="24"/>
        </w:rPr>
      </w:pPr>
    </w:p>
    <w:sectPr w:rsidR="00022EB2" w:rsidRPr="00CD1E79" w:rsidSect="00B57DC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974F5" w14:textId="77777777" w:rsidR="00DA4800" w:rsidRDefault="00DA4800" w:rsidP="00BA2CBB">
      <w:pPr>
        <w:spacing w:after="0" w:line="240" w:lineRule="auto"/>
      </w:pPr>
      <w:r>
        <w:separator/>
      </w:r>
    </w:p>
  </w:endnote>
  <w:endnote w:type="continuationSeparator" w:id="0">
    <w:p w14:paraId="43A2E312" w14:textId="77777777" w:rsidR="00DA4800" w:rsidRDefault="00DA4800" w:rsidP="00BA2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166229"/>
      <w:docPartObj>
        <w:docPartGallery w:val="Page Numbers (Bottom of Page)"/>
        <w:docPartUnique/>
      </w:docPartObj>
    </w:sdtPr>
    <w:sdtEndPr/>
    <w:sdtContent>
      <w:sdt>
        <w:sdtPr>
          <w:id w:val="1728636285"/>
          <w:docPartObj>
            <w:docPartGallery w:val="Page Numbers (Top of Page)"/>
            <w:docPartUnique/>
          </w:docPartObj>
        </w:sdtPr>
        <w:sdtEndPr/>
        <w:sdtContent>
          <w:p w14:paraId="0FF400C5" w14:textId="6A40D7B7" w:rsidR="00BA2CBB" w:rsidRDefault="00BA2CB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A74CF8D" w14:textId="77777777" w:rsidR="00BA2CBB" w:rsidRDefault="00BA2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DDF54" w14:textId="77777777" w:rsidR="00DA4800" w:rsidRDefault="00DA4800" w:rsidP="00BA2CBB">
      <w:pPr>
        <w:spacing w:after="0" w:line="240" w:lineRule="auto"/>
      </w:pPr>
      <w:r>
        <w:separator/>
      </w:r>
    </w:p>
  </w:footnote>
  <w:footnote w:type="continuationSeparator" w:id="0">
    <w:p w14:paraId="03E3B006" w14:textId="77777777" w:rsidR="00DA4800" w:rsidRDefault="00DA4800" w:rsidP="00BA2CBB">
      <w:pPr>
        <w:spacing w:after="0" w:line="240" w:lineRule="auto"/>
      </w:pPr>
      <w:r>
        <w:continuationSeparator/>
      </w:r>
    </w:p>
  </w:footnote>
  <w:footnote w:id="1">
    <w:p w14:paraId="50E57E6F" w14:textId="77777777" w:rsidR="003940EC" w:rsidRPr="009602C6" w:rsidRDefault="003940EC" w:rsidP="003940EC">
      <w:pPr>
        <w:pStyle w:val="FootnoteText"/>
        <w:rPr>
          <w:lang w:val="en-US"/>
        </w:rPr>
      </w:pPr>
      <w:r w:rsidRPr="009602C6">
        <w:rPr>
          <w:vertAlign w:val="superscript"/>
        </w:rPr>
        <w:t>[</w:t>
      </w:r>
      <w:r w:rsidRPr="009602C6">
        <w:rPr>
          <w:rStyle w:val="FootnoteReference"/>
        </w:rPr>
        <w:footnoteRef/>
      </w:r>
      <w:r w:rsidRPr="009602C6">
        <w:rPr>
          <w:vertAlign w:val="superscript"/>
        </w:rPr>
        <w:t>]</w:t>
      </w:r>
      <w:r>
        <w:t xml:space="preserve"> </w:t>
      </w:r>
      <w:r w:rsidRPr="009602C6">
        <w:t>https://www.trai.gov.in/sites/default/files/2026-02/PR_No.19of2026_0.pdf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9DA"/>
    <w:multiLevelType w:val="hybridMultilevel"/>
    <w:tmpl w:val="E9BC74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0F36BC"/>
    <w:multiLevelType w:val="hybridMultilevel"/>
    <w:tmpl w:val="299E05C2"/>
    <w:lvl w:ilvl="0" w:tplc="49D62C94">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7D12DE"/>
    <w:multiLevelType w:val="hybridMultilevel"/>
    <w:tmpl w:val="AD18FEE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546BD4"/>
    <w:multiLevelType w:val="hybridMultilevel"/>
    <w:tmpl w:val="B9E63388"/>
    <w:lvl w:ilvl="0" w:tplc="4009000F">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DA45BD"/>
    <w:multiLevelType w:val="hybridMultilevel"/>
    <w:tmpl w:val="455646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912BCA"/>
    <w:multiLevelType w:val="hybridMultilevel"/>
    <w:tmpl w:val="2FA67F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E83A6B"/>
    <w:multiLevelType w:val="hybridMultilevel"/>
    <w:tmpl w:val="D2189D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D77E51"/>
    <w:multiLevelType w:val="hybridMultilevel"/>
    <w:tmpl w:val="63B8F5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9315E63"/>
    <w:multiLevelType w:val="hybridMultilevel"/>
    <w:tmpl w:val="1C88FAFA"/>
    <w:lvl w:ilvl="0" w:tplc="4574D9B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790746"/>
    <w:multiLevelType w:val="hybridMultilevel"/>
    <w:tmpl w:val="62EE99AE"/>
    <w:lvl w:ilvl="0" w:tplc="298C47E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D470A75"/>
    <w:multiLevelType w:val="hybridMultilevel"/>
    <w:tmpl w:val="FA8218CC"/>
    <w:lvl w:ilvl="0" w:tplc="40090001">
      <w:start w:val="1"/>
      <w:numFmt w:val="bullet"/>
      <w:lvlText w:val=""/>
      <w:lvlJc w:val="left"/>
      <w:pPr>
        <w:ind w:left="360" w:hanging="360"/>
      </w:pPr>
      <w:rPr>
        <w:rFonts w:ascii="Symbol" w:hAnsi="Symbol" w:hint="default"/>
      </w:rPr>
    </w:lvl>
    <w:lvl w:ilvl="1" w:tplc="4009000D">
      <w:start w:val="1"/>
      <w:numFmt w:val="bullet"/>
      <w:lvlText w:val=""/>
      <w:lvlJc w:val="left"/>
      <w:pPr>
        <w:ind w:left="1080" w:hanging="360"/>
      </w:pPr>
      <w:rPr>
        <w:rFonts w:ascii="Wingdings" w:hAnsi="Wingdings"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D872566"/>
    <w:multiLevelType w:val="hybridMultilevel"/>
    <w:tmpl w:val="4FC22D0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26C793A"/>
    <w:multiLevelType w:val="hybridMultilevel"/>
    <w:tmpl w:val="5AE45DF8"/>
    <w:lvl w:ilvl="0" w:tplc="FFFFFFFF">
      <w:start w:val="1"/>
      <w:numFmt w:val="lowerRoman"/>
      <w:lvlText w:val="(%1)"/>
      <w:lvlJc w:val="left"/>
      <w:pPr>
        <w:ind w:left="1440" w:hanging="720"/>
      </w:pPr>
      <w:rPr>
        <w:rFonts w:hint="default"/>
        <w:b w:val="0"/>
        <w:bCs w:val="0"/>
      </w:rPr>
    </w:lvl>
    <w:lvl w:ilvl="1" w:tplc="12D4C150">
      <w:start w:val="1"/>
      <w:numFmt w:val="lowerRoman"/>
      <w:lvlText w:val="(%2)"/>
      <w:lvlJc w:val="center"/>
      <w:pPr>
        <w:ind w:left="1800" w:hanging="360"/>
      </w:pPr>
      <w:rPr>
        <w:rFonts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615496F"/>
    <w:multiLevelType w:val="hybridMultilevel"/>
    <w:tmpl w:val="00809A3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8CC01B7"/>
    <w:multiLevelType w:val="hybridMultilevel"/>
    <w:tmpl w:val="81062FFC"/>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B">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520DA9"/>
    <w:multiLevelType w:val="hybridMultilevel"/>
    <w:tmpl w:val="838CF94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0D7709"/>
    <w:multiLevelType w:val="hybridMultilevel"/>
    <w:tmpl w:val="E95283F8"/>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C215A1D"/>
    <w:multiLevelType w:val="multilevel"/>
    <w:tmpl w:val="AF0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70630"/>
    <w:multiLevelType w:val="multilevel"/>
    <w:tmpl w:val="3D0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97CDE"/>
    <w:multiLevelType w:val="multilevel"/>
    <w:tmpl w:val="57D4BF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1F53705F"/>
    <w:multiLevelType w:val="hybridMultilevel"/>
    <w:tmpl w:val="1E54F2D2"/>
    <w:lvl w:ilvl="0" w:tplc="4009000F">
      <w:start w:val="1"/>
      <w:numFmt w:val="decimal"/>
      <w:lvlText w:val="%1."/>
      <w:lvlJc w:val="left"/>
      <w:pPr>
        <w:ind w:left="711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289F27E1"/>
    <w:multiLevelType w:val="hybridMultilevel"/>
    <w:tmpl w:val="A1F02256"/>
    <w:lvl w:ilvl="0" w:tplc="6C162778">
      <w:start w:val="1"/>
      <w:numFmt w:val="decimal"/>
      <w:lvlText w:val="%1."/>
      <w:lvlJc w:val="left"/>
      <w:pPr>
        <w:ind w:left="720" w:hanging="360"/>
      </w:pPr>
      <w:rPr>
        <w:rFonts w:ascii="Tahoma" w:eastAsiaTheme="minorHAnsi" w:hAnsi="Tahoma" w:cs="Tahoma"/>
        <w:b/>
        <w:bCs/>
      </w:rPr>
    </w:lvl>
    <w:lvl w:ilvl="1" w:tplc="2EEA2412">
      <w:start w:val="1"/>
      <w:numFmt w:val="lowerLetter"/>
      <w:lvlText w:val="(%2)"/>
      <w:lvlJc w:val="left"/>
      <w:pPr>
        <w:ind w:left="1440" w:hanging="360"/>
      </w:pPr>
      <w:rPr>
        <w:rFonts w:eastAsiaTheme="minorHAnsi" w:hint="default"/>
        <w:b/>
        <w:bCs/>
        <w:color w:val="auto"/>
        <w:sz w:val="24"/>
      </w:rPr>
    </w:lvl>
    <w:lvl w:ilvl="2" w:tplc="12D4C150">
      <w:start w:val="1"/>
      <w:numFmt w:val="lowerRoman"/>
      <w:lvlText w:val="(%3)"/>
      <w:lvlJc w:val="center"/>
      <w:pPr>
        <w:ind w:left="2340" w:hanging="360"/>
      </w:pPr>
      <w:rPr>
        <w:rFonts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8B85852"/>
    <w:multiLevelType w:val="multilevel"/>
    <w:tmpl w:val="F4B2DB6E"/>
    <w:lvl w:ilvl="0">
      <w:start w:val="1"/>
      <w:numFmt w:val="bullet"/>
      <w:lvlText w:val=""/>
      <w:lvlJc w:val="left"/>
      <w:pPr>
        <w:tabs>
          <w:tab w:val="num" w:pos="1211"/>
        </w:tabs>
        <w:ind w:left="1211" w:hanging="360"/>
      </w:pPr>
      <w:rPr>
        <w:rFonts w:ascii="Symbol" w:hAnsi="Symbol" w:hint="default"/>
        <w:sz w:val="20"/>
      </w:rPr>
    </w:lvl>
    <w:lvl w:ilvl="1">
      <w:start w:val="1"/>
      <w:numFmt w:val="upperLetter"/>
      <w:lvlText w:val="%2."/>
      <w:lvlJc w:val="left"/>
      <w:pPr>
        <w:ind w:left="502" w:hanging="360"/>
      </w:pPr>
      <w:rPr>
        <w:rFonts w:ascii="Bookman Old Style" w:hAnsi="Bookman Old Style" w:hint="default"/>
        <w:sz w:val="26"/>
      </w:rPr>
    </w:lvl>
    <w:lvl w:ilvl="2">
      <w:start w:val="4"/>
      <w:numFmt w:val="lowerLetter"/>
      <w:lvlText w:val="(%3)"/>
      <w:lvlJc w:val="left"/>
      <w:pPr>
        <w:ind w:left="644" w:hanging="360"/>
      </w:pPr>
      <w:rPr>
        <w:rFonts w:hint="default"/>
      </w:rPr>
    </w:lvl>
    <w:lvl w:ilvl="3">
      <w:start w:val="1"/>
      <w:numFmt w:val="bullet"/>
      <w:lvlText w:val=""/>
      <w:lvlJc w:val="left"/>
      <w:pPr>
        <w:ind w:left="720" w:hanging="360"/>
      </w:pPr>
      <w:rPr>
        <w:rFonts w:ascii="Symbol" w:hAnsi="Symbol" w:hint="default"/>
      </w:rPr>
    </w:lvl>
    <w:lvl w:ilvl="4">
      <w:start w:val="1"/>
      <w:numFmt w:val="decimal"/>
      <w:lvlText w:val="%5."/>
      <w:lvlJc w:val="left"/>
      <w:pPr>
        <w:ind w:left="360" w:hanging="360"/>
      </w:pPr>
      <w:rPr>
        <w:rFonts w:hint="default"/>
        <w:sz w:val="26"/>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3" w15:restartNumberingAfterBreak="0">
    <w:nsid w:val="2B115562"/>
    <w:multiLevelType w:val="hybridMultilevel"/>
    <w:tmpl w:val="62EE99A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2C48053A"/>
    <w:multiLevelType w:val="hybridMultilevel"/>
    <w:tmpl w:val="7B22409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3B6184E"/>
    <w:multiLevelType w:val="hybridMultilevel"/>
    <w:tmpl w:val="FA5C1F40"/>
    <w:lvl w:ilvl="0" w:tplc="367E121E">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6" w15:restartNumberingAfterBreak="0">
    <w:nsid w:val="36727D9F"/>
    <w:multiLevelType w:val="hybridMultilevel"/>
    <w:tmpl w:val="AD18FEE8"/>
    <w:lvl w:ilvl="0" w:tplc="174C41B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7AE4C30"/>
    <w:multiLevelType w:val="hybridMultilevel"/>
    <w:tmpl w:val="2C482734"/>
    <w:lvl w:ilvl="0" w:tplc="12D4C150">
      <w:start w:val="1"/>
      <w:numFmt w:val="lowerRoman"/>
      <w:lvlText w:val="(%1)"/>
      <w:lvlJc w:val="center"/>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3C635E0C"/>
    <w:multiLevelType w:val="hybridMultilevel"/>
    <w:tmpl w:val="A90A6646"/>
    <w:lvl w:ilvl="0" w:tplc="11AEB90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26A2B57"/>
    <w:multiLevelType w:val="hybridMultilevel"/>
    <w:tmpl w:val="6BE0120E"/>
    <w:lvl w:ilvl="0" w:tplc="E034CA6E">
      <w:start w:val="1"/>
      <w:numFmt w:val="decimal"/>
      <w:lvlText w:val="%1."/>
      <w:lvlJc w:val="left"/>
      <w:pPr>
        <w:ind w:left="1080" w:hanging="360"/>
      </w:pPr>
      <w:rPr>
        <w:rFonts w:hint="default"/>
        <w:lang w:val="en-G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445A7166"/>
    <w:multiLevelType w:val="hybridMultilevel"/>
    <w:tmpl w:val="2800F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124889"/>
    <w:multiLevelType w:val="hybridMultilevel"/>
    <w:tmpl w:val="1E6679C4"/>
    <w:lvl w:ilvl="0" w:tplc="272C12FC">
      <w:start w:val="1"/>
      <w:numFmt w:val="decimal"/>
      <w:lvlText w:val="5.%1"/>
      <w:lvlJc w:val="left"/>
      <w:pPr>
        <w:ind w:left="680" w:hanging="680"/>
      </w:pPr>
      <w:rPr>
        <w:rFonts w:ascii="Bookman Old Style" w:eastAsia="Bookman Old Style" w:hAnsi="Bookman Old Style" w:cs="Bookman Old Style"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A002200"/>
    <w:multiLevelType w:val="hybridMultilevel"/>
    <w:tmpl w:val="A11C4220"/>
    <w:lvl w:ilvl="0" w:tplc="FFFFFFFF">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611" w:hanging="360"/>
      </w:pPr>
    </w:lvl>
    <w:lvl w:ilvl="2" w:tplc="FFFFFFFF" w:tentative="1">
      <w:start w:val="1"/>
      <w:numFmt w:val="lowerRoman"/>
      <w:lvlText w:val="%3."/>
      <w:lvlJc w:val="right"/>
      <w:pPr>
        <w:ind w:left="109" w:hanging="180"/>
      </w:pPr>
    </w:lvl>
    <w:lvl w:ilvl="3" w:tplc="FFFFFFFF" w:tentative="1">
      <w:start w:val="1"/>
      <w:numFmt w:val="decimal"/>
      <w:lvlText w:val="%4."/>
      <w:lvlJc w:val="left"/>
      <w:pPr>
        <w:ind w:left="829" w:hanging="360"/>
      </w:pPr>
    </w:lvl>
    <w:lvl w:ilvl="4" w:tplc="FFFFFFFF" w:tentative="1">
      <w:start w:val="1"/>
      <w:numFmt w:val="lowerLetter"/>
      <w:lvlText w:val="%5."/>
      <w:lvlJc w:val="left"/>
      <w:pPr>
        <w:ind w:left="1549" w:hanging="360"/>
      </w:pPr>
    </w:lvl>
    <w:lvl w:ilvl="5" w:tplc="FFFFFFFF" w:tentative="1">
      <w:start w:val="1"/>
      <w:numFmt w:val="lowerRoman"/>
      <w:lvlText w:val="%6."/>
      <w:lvlJc w:val="right"/>
      <w:pPr>
        <w:ind w:left="2269" w:hanging="180"/>
      </w:pPr>
    </w:lvl>
    <w:lvl w:ilvl="6" w:tplc="FFFFFFFF" w:tentative="1">
      <w:start w:val="1"/>
      <w:numFmt w:val="decimal"/>
      <w:lvlText w:val="%7."/>
      <w:lvlJc w:val="left"/>
      <w:pPr>
        <w:ind w:left="2989" w:hanging="360"/>
      </w:pPr>
    </w:lvl>
    <w:lvl w:ilvl="7" w:tplc="FFFFFFFF" w:tentative="1">
      <w:start w:val="1"/>
      <w:numFmt w:val="lowerLetter"/>
      <w:lvlText w:val="%8."/>
      <w:lvlJc w:val="left"/>
      <w:pPr>
        <w:ind w:left="3709" w:hanging="360"/>
      </w:pPr>
    </w:lvl>
    <w:lvl w:ilvl="8" w:tplc="FFFFFFFF" w:tentative="1">
      <w:start w:val="1"/>
      <w:numFmt w:val="lowerRoman"/>
      <w:lvlText w:val="%9."/>
      <w:lvlJc w:val="right"/>
      <w:pPr>
        <w:ind w:left="4429" w:hanging="180"/>
      </w:pPr>
    </w:lvl>
  </w:abstractNum>
  <w:abstractNum w:abstractNumId="33" w15:restartNumberingAfterBreak="0">
    <w:nsid w:val="52572AD0"/>
    <w:multiLevelType w:val="hybridMultilevel"/>
    <w:tmpl w:val="A002EA52"/>
    <w:lvl w:ilvl="0" w:tplc="DF6A62A2">
      <w:start w:val="1"/>
      <w:numFmt w:val="lowerLetter"/>
      <w:lvlText w:val="(%1)"/>
      <w:lvlJc w:val="left"/>
      <w:pPr>
        <w:ind w:left="720" w:hanging="360"/>
      </w:pPr>
      <w:rPr>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59154C6D"/>
    <w:multiLevelType w:val="hybridMultilevel"/>
    <w:tmpl w:val="6DF8502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D8C096C"/>
    <w:multiLevelType w:val="hybridMultilevel"/>
    <w:tmpl w:val="6EF07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F5688F"/>
    <w:multiLevelType w:val="hybridMultilevel"/>
    <w:tmpl w:val="115683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20072B1"/>
    <w:multiLevelType w:val="multilevel"/>
    <w:tmpl w:val="78E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A6790"/>
    <w:multiLevelType w:val="hybridMultilevel"/>
    <w:tmpl w:val="9FD421AC"/>
    <w:lvl w:ilvl="0" w:tplc="4009000D">
      <w:start w:val="1"/>
      <w:numFmt w:val="bullet"/>
      <w:lvlText w:val=""/>
      <w:lvlJc w:val="left"/>
      <w:pPr>
        <w:ind w:left="606" w:hanging="360"/>
      </w:pPr>
      <w:rPr>
        <w:rFonts w:ascii="Wingdings" w:hAnsi="Wingdings" w:hint="default"/>
      </w:rPr>
    </w:lvl>
    <w:lvl w:ilvl="1" w:tplc="40090003" w:tentative="1">
      <w:start w:val="1"/>
      <w:numFmt w:val="bullet"/>
      <w:lvlText w:val="o"/>
      <w:lvlJc w:val="left"/>
      <w:pPr>
        <w:ind w:left="1326" w:hanging="360"/>
      </w:pPr>
      <w:rPr>
        <w:rFonts w:ascii="Courier New" w:hAnsi="Courier New" w:cs="Courier New" w:hint="default"/>
      </w:rPr>
    </w:lvl>
    <w:lvl w:ilvl="2" w:tplc="40090005" w:tentative="1">
      <w:start w:val="1"/>
      <w:numFmt w:val="bullet"/>
      <w:lvlText w:val=""/>
      <w:lvlJc w:val="left"/>
      <w:pPr>
        <w:ind w:left="2046" w:hanging="360"/>
      </w:pPr>
      <w:rPr>
        <w:rFonts w:ascii="Wingdings" w:hAnsi="Wingdings" w:hint="default"/>
      </w:rPr>
    </w:lvl>
    <w:lvl w:ilvl="3" w:tplc="40090001" w:tentative="1">
      <w:start w:val="1"/>
      <w:numFmt w:val="bullet"/>
      <w:lvlText w:val=""/>
      <w:lvlJc w:val="left"/>
      <w:pPr>
        <w:ind w:left="2766" w:hanging="360"/>
      </w:pPr>
      <w:rPr>
        <w:rFonts w:ascii="Symbol" w:hAnsi="Symbol" w:hint="default"/>
      </w:rPr>
    </w:lvl>
    <w:lvl w:ilvl="4" w:tplc="40090003" w:tentative="1">
      <w:start w:val="1"/>
      <w:numFmt w:val="bullet"/>
      <w:lvlText w:val="o"/>
      <w:lvlJc w:val="left"/>
      <w:pPr>
        <w:ind w:left="3486" w:hanging="360"/>
      </w:pPr>
      <w:rPr>
        <w:rFonts w:ascii="Courier New" w:hAnsi="Courier New" w:cs="Courier New" w:hint="default"/>
      </w:rPr>
    </w:lvl>
    <w:lvl w:ilvl="5" w:tplc="40090005" w:tentative="1">
      <w:start w:val="1"/>
      <w:numFmt w:val="bullet"/>
      <w:lvlText w:val=""/>
      <w:lvlJc w:val="left"/>
      <w:pPr>
        <w:ind w:left="4206" w:hanging="360"/>
      </w:pPr>
      <w:rPr>
        <w:rFonts w:ascii="Wingdings" w:hAnsi="Wingdings" w:hint="default"/>
      </w:rPr>
    </w:lvl>
    <w:lvl w:ilvl="6" w:tplc="40090001" w:tentative="1">
      <w:start w:val="1"/>
      <w:numFmt w:val="bullet"/>
      <w:lvlText w:val=""/>
      <w:lvlJc w:val="left"/>
      <w:pPr>
        <w:ind w:left="4926" w:hanging="360"/>
      </w:pPr>
      <w:rPr>
        <w:rFonts w:ascii="Symbol" w:hAnsi="Symbol" w:hint="default"/>
      </w:rPr>
    </w:lvl>
    <w:lvl w:ilvl="7" w:tplc="40090003" w:tentative="1">
      <w:start w:val="1"/>
      <w:numFmt w:val="bullet"/>
      <w:lvlText w:val="o"/>
      <w:lvlJc w:val="left"/>
      <w:pPr>
        <w:ind w:left="5646" w:hanging="360"/>
      </w:pPr>
      <w:rPr>
        <w:rFonts w:ascii="Courier New" w:hAnsi="Courier New" w:cs="Courier New" w:hint="default"/>
      </w:rPr>
    </w:lvl>
    <w:lvl w:ilvl="8" w:tplc="40090005" w:tentative="1">
      <w:start w:val="1"/>
      <w:numFmt w:val="bullet"/>
      <w:lvlText w:val=""/>
      <w:lvlJc w:val="left"/>
      <w:pPr>
        <w:ind w:left="6366" w:hanging="360"/>
      </w:pPr>
      <w:rPr>
        <w:rFonts w:ascii="Wingdings" w:hAnsi="Wingdings" w:hint="default"/>
      </w:rPr>
    </w:lvl>
  </w:abstractNum>
  <w:abstractNum w:abstractNumId="39" w15:restartNumberingAfterBreak="0">
    <w:nsid w:val="6531429E"/>
    <w:multiLevelType w:val="hybridMultilevel"/>
    <w:tmpl w:val="A54A6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65470DE"/>
    <w:multiLevelType w:val="hybridMultilevel"/>
    <w:tmpl w:val="984C102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67F204B1"/>
    <w:multiLevelType w:val="hybridMultilevel"/>
    <w:tmpl w:val="3E4E9744"/>
    <w:lvl w:ilvl="0" w:tplc="7B806C7C">
      <w:start w:val="1"/>
      <w:numFmt w:val="lowerRoman"/>
      <w:lvlText w:val="%1."/>
      <w:lvlJc w:val="right"/>
      <w:pPr>
        <w:tabs>
          <w:tab w:val="num" w:pos="720"/>
        </w:tabs>
        <w:ind w:left="720" w:hanging="360"/>
      </w:pPr>
    </w:lvl>
    <w:lvl w:ilvl="1" w:tplc="2E804702" w:tentative="1">
      <w:start w:val="1"/>
      <w:numFmt w:val="lowerRoman"/>
      <w:lvlText w:val="%2."/>
      <w:lvlJc w:val="right"/>
      <w:pPr>
        <w:tabs>
          <w:tab w:val="num" w:pos="1440"/>
        </w:tabs>
        <w:ind w:left="1440" w:hanging="360"/>
      </w:pPr>
    </w:lvl>
    <w:lvl w:ilvl="2" w:tplc="92E83E08" w:tentative="1">
      <w:start w:val="1"/>
      <w:numFmt w:val="lowerRoman"/>
      <w:lvlText w:val="%3."/>
      <w:lvlJc w:val="right"/>
      <w:pPr>
        <w:tabs>
          <w:tab w:val="num" w:pos="2160"/>
        </w:tabs>
        <w:ind w:left="2160" w:hanging="360"/>
      </w:pPr>
    </w:lvl>
    <w:lvl w:ilvl="3" w:tplc="372625B0" w:tentative="1">
      <w:start w:val="1"/>
      <w:numFmt w:val="lowerRoman"/>
      <w:lvlText w:val="%4."/>
      <w:lvlJc w:val="right"/>
      <w:pPr>
        <w:tabs>
          <w:tab w:val="num" w:pos="2880"/>
        </w:tabs>
        <w:ind w:left="2880" w:hanging="360"/>
      </w:pPr>
    </w:lvl>
    <w:lvl w:ilvl="4" w:tplc="4BAED5D8" w:tentative="1">
      <w:start w:val="1"/>
      <w:numFmt w:val="lowerRoman"/>
      <w:lvlText w:val="%5."/>
      <w:lvlJc w:val="right"/>
      <w:pPr>
        <w:tabs>
          <w:tab w:val="num" w:pos="3600"/>
        </w:tabs>
        <w:ind w:left="3600" w:hanging="360"/>
      </w:pPr>
    </w:lvl>
    <w:lvl w:ilvl="5" w:tplc="7410E57C" w:tentative="1">
      <w:start w:val="1"/>
      <w:numFmt w:val="lowerRoman"/>
      <w:lvlText w:val="%6."/>
      <w:lvlJc w:val="right"/>
      <w:pPr>
        <w:tabs>
          <w:tab w:val="num" w:pos="4320"/>
        </w:tabs>
        <w:ind w:left="4320" w:hanging="360"/>
      </w:pPr>
    </w:lvl>
    <w:lvl w:ilvl="6" w:tplc="601C9906" w:tentative="1">
      <w:start w:val="1"/>
      <w:numFmt w:val="lowerRoman"/>
      <w:lvlText w:val="%7."/>
      <w:lvlJc w:val="right"/>
      <w:pPr>
        <w:tabs>
          <w:tab w:val="num" w:pos="5040"/>
        </w:tabs>
        <w:ind w:left="5040" w:hanging="360"/>
      </w:pPr>
    </w:lvl>
    <w:lvl w:ilvl="7" w:tplc="15EA31DE" w:tentative="1">
      <w:start w:val="1"/>
      <w:numFmt w:val="lowerRoman"/>
      <w:lvlText w:val="%8."/>
      <w:lvlJc w:val="right"/>
      <w:pPr>
        <w:tabs>
          <w:tab w:val="num" w:pos="5760"/>
        </w:tabs>
        <w:ind w:left="5760" w:hanging="360"/>
      </w:pPr>
    </w:lvl>
    <w:lvl w:ilvl="8" w:tplc="70A26BF6" w:tentative="1">
      <w:start w:val="1"/>
      <w:numFmt w:val="lowerRoman"/>
      <w:lvlText w:val="%9."/>
      <w:lvlJc w:val="right"/>
      <w:pPr>
        <w:tabs>
          <w:tab w:val="num" w:pos="6480"/>
        </w:tabs>
        <w:ind w:left="6480" w:hanging="360"/>
      </w:pPr>
    </w:lvl>
  </w:abstractNum>
  <w:abstractNum w:abstractNumId="42" w15:restartNumberingAfterBreak="0">
    <w:nsid w:val="6830532F"/>
    <w:multiLevelType w:val="hybridMultilevel"/>
    <w:tmpl w:val="BD5037CC"/>
    <w:lvl w:ilvl="0" w:tplc="1870C9B2">
      <w:start w:val="1"/>
      <w:numFmt w:val="decimal"/>
      <w:lvlText w:val="%1."/>
      <w:lvlJc w:val="left"/>
      <w:pPr>
        <w:ind w:left="1530" w:hanging="360"/>
      </w:pPr>
      <w:rPr>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9692658"/>
    <w:multiLevelType w:val="hybridMultilevel"/>
    <w:tmpl w:val="984C102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5E76B4F"/>
    <w:multiLevelType w:val="hybridMultilevel"/>
    <w:tmpl w:val="A1829BA6"/>
    <w:lvl w:ilvl="0" w:tplc="DD7EEBA4">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77473C5D"/>
    <w:multiLevelType w:val="hybridMultilevel"/>
    <w:tmpl w:val="8676DAE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79019C4"/>
    <w:multiLevelType w:val="hybridMultilevel"/>
    <w:tmpl w:val="AEC8AD4E"/>
    <w:lvl w:ilvl="0" w:tplc="FFFFFFFF">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86B75B7"/>
    <w:multiLevelType w:val="hybridMultilevel"/>
    <w:tmpl w:val="BD3AD2B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A97541F"/>
    <w:multiLevelType w:val="hybridMultilevel"/>
    <w:tmpl w:val="0E12179E"/>
    <w:lvl w:ilvl="0" w:tplc="6DD87000">
      <w:start w:val="7"/>
      <w:numFmt w:val="lowerRoman"/>
      <w:lvlText w:val="%1."/>
      <w:lvlJc w:val="left"/>
      <w:pPr>
        <w:ind w:left="1008" w:hanging="720"/>
      </w:pPr>
      <w:rPr>
        <w:rFonts w:hint="default"/>
      </w:rPr>
    </w:lvl>
    <w:lvl w:ilvl="1" w:tplc="40090019">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start w:val="1"/>
      <w:numFmt w:val="decimal"/>
      <w:lvlText w:val="%4."/>
      <w:lvlJc w:val="left"/>
      <w:pPr>
        <w:ind w:left="360"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49" w15:restartNumberingAfterBreak="0">
    <w:nsid w:val="7C580599"/>
    <w:multiLevelType w:val="hybridMultilevel"/>
    <w:tmpl w:val="B8227B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0" w15:restartNumberingAfterBreak="0">
    <w:nsid w:val="7E240395"/>
    <w:multiLevelType w:val="hybridMultilevel"/>
    <w:tmpl w:val="578E4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EB534D7"/>
    <w:multiLevelType w:val="hybridMultilevel"/>
    <w:tmpl w:val="98F69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1925522">
    <w:abstractNumId w:val="7"/>
  </w:num>
  <w:num w:numId="2" w16cid:durableId="530266363">
    <w:abstractNumId w:val="24"/>
  </w:num>
  <w:num w:numId="3" w16cid:durableId="1944458223">
    <w:abstractNumId w:val="14"/>
  </w:num>
  <w:num w:numId="4" w16cid:durableId="1047801174">
    <w:abstractNumId w:val="4"/>
  </w:num>
  <w:num w:numId="5" w16cid:durableId="485051011">
    <w:abstractNumId w:val="39"/>
  </w:num>
  <w:num w:numId="6" w16cid:durableId="1642995772">
    <w:abstractNumId w:val="42"/>
  </w:num>
  <w:num w:numId="7" w16cid:durableId="566306802">
    <w:abstractNumId w:val="8"/>
  </w:num>
  <w:num w:numId="8" w16cid:durableId="1730306621">
    <w:abstractNumId w:val="19"/>
  </w:num>
  <w:num w:numId="9" w16cid:durableId="1218785327">
    <w:abstractNumId w:val="18"/>
  </w:num>
  <w:num w:numId="10" w16cid:durableId="865562376">
    <w:abstractNumId w:val="46"/>
  </w:num>
  <w:num w:numId="11" w16cid:durableId="341593181">
    <w:abstractNumId w:val="40"/>
  </w:num>
  <w:num w:numId="12" w16cid:durableId="807748819">
    <w:abstractNumId w:val="43"/>
  </w:num>
  <w:num w:numId="13" w16cid:durableId="131750134">
    <w:abstractNumId w:val="21"/>
  </w:num>
  <w:num w:numId="14" w16cid:durableId="1671249960">
    <w:abstractNumId w:val="16"/>
  </w:num>
  <w:num w:numId="15" w16cid:durableId="1818062650">
    <w:abstractNumId w:val="11"/>
  </w:num>
  <w:num w:numId="16" w16cid:durableId="5348055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16827744">
    <w:abstractNumId w:val="34"/>
  </w:num>
  <w:num w:numId="18" w16cid:durableId="1202205469">
    <w:abstractNumId w:val="10"/>
  </w:num>
  <w:num w:numId="19" w16cid:durableId="1816218249">
    <w:abstractNumId w:val="29"/>
  </w:num>
  <w:num w:numId="20" w16cid:durableId="126243092">
    <w:abstractNumId w:val="12"/>
  </w:num>
  <w:num w:numId="21" w16cid:durableId="2118862370">
    <w:abstractNumId w:val="27"/>
  </w:num>
  <w:num w:numId="22" w16cid:durableId="72896083">
    <w:abstractNumId w:val="26"/>
  </w:num>
  <w:num w:numId="23" w16cid:durableId="1116485889">
    <w:abstractNumId w:val="9"/>
  </w:num>
  <w:num w:numId="24" w16cid:durableId="1940595994">
    <w:abstractNumId w:val="1"/>
  </w:num>
  <w:num w:numId="25" w16cid:durableId="1306547041">
    <w:abstractNumId w:val="5"/>
  </w:num>
  <w:num w:numId="26" w16cid:durableId="693001598">
    <w:abstractNumId w:val="38"/>
  </w:num>
  <w:num w:numId="27" w16cid:durableId="1724673227">
    <w:abstractNumId w:val="36"/>
  </w:num>
  <w:num w:numId="28" w16cid:durableId="1191838509">
    <w:abstractNumId w:val="23"/>
  </w:num>
  <w:num w:numId="29" w16cid:durableId="1955556967">
    <w:abstractNumId w:val="44"/>
  </w:num>
  <w:num w:numId="30" w16cid:durableId="2052992845">
    <w:abstractNumId w:val="2"/>
  </w:num>
  <w:num w:numId="31" w16cid:durableId="1484811531">
    <w:abstractNumId w:val="51"/>
  </w:num>
  <w:num w:numId="32" w16cid:durableId="294918747">
    <w:abstractNumId w:val="35"/>
  </w:num>
  <w:num w:numId="33" w16cid:durableId="20967078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9166804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06362379">
    <w:abstractNumId w:val="28"/>
  </w:num>
  <w:num w:numId="36" w16cid:durableId="41347644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36802102">
    <w:abstractNumId w:val="20"/>
  </w:num>
  <w:num w:numId="38" w16cid:durableId="166675308">
    <w:abstractNumId w:val="32"/>
  </w:num>
  <w:num w:numId="39" w16cid:durableId="484130555">
    <w:abstractNumId w:val="6"/>
  </w:num>
  <w:num w:numId="40" w16cid:durableId="107286954">
    <w:abstractNumId w:val="3"/>
  </w:num>
  <w:num w:numId="41" w16cid:durableId="307900987">
    <w:abstractNumId w:val="50"/>
  </w:num>
  <w:num w:numId="42" w16cid:durableId="436170431">
    <w:abstractNumId w:val="37"/>
  </w:num>
  <w:num w:numId="43" w16cid:durableId="1337267879">
    <w:abstractNumId w:val="30"/>
  </w:num>
  <w:num w:numId="44" w16cid:durableId="1364479896">
    <w:abstractNumId w:val="15"/>
  </w:num>
  <w:num w:numId="45" w16cid:durableId="1089811097">
    <w:abstractNumId w:val="47"/>
  </w:num>
  <w:num w:numId="46" w16cid:durableId="1428115874">
    <w:abstractNumId w:val="45"/>
  </w:num>
  <w:num w:numId="47" w16cid:durableId="1598249233">
    <w:abstractNumId w:val="17"/>
  </w:num>
  <w:num w:numId="48" w16cid:durableId="489446501">
    <w:abstractNumId w:val="41"/>
  </w:num>
  <w:num w:numId="49" w16cid:durableId="1949659927">
    <w:abstractNumId w:val="13"/>
  </w:num>
  <w:num w:numId="50" w16cid:durableId="541284884">
    <w:abstractNumId w:val="0"/>
  </w:num>
  <w:num w:numId="51" w16cid:durableId="1910340753">
    <w:abstractNumId w:val="22"/>
  </w:num>
  <w:num w:numId="52" w16cid:durableId="1005936006">
    <w:abstractNumId w:val="48"/>
  </w:num>
  <w:num w:numId="53" w16cid:durableId="87642907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FF"/>
    <w:rsid w:val="000018BC"/>
    <w:rsid w:val="00005E3F"/>
    <w:rsid w:val="00015078"/>
    <w:rsid w:val="00022EB2"/>
    <w:rsid w:val="00023B7D"/>
    <w:rsid w:val="0003107B"/>
    <w:rsid w:val="000367CA"/>
    <w:rsid w:val="0004240F"/>
    <w:rsid w:val="00045373"/>
    <w:rsid w:val="000470BA"/>
    <w:rsid w:val="00063196"/>
    <w:rsid w:val="0007506B"/>
    <w:rsid w:val="0007547C"/>
    <w:rsid w:val="00090C19"/>
    <w:rsid w:val="00092465"/>
    <w:rsid w:val="00096B37"/>
    <w:rsid w:val="0009719B"/>
    <w:rsid w:val="000A0DDA"/>
    <w:rsid w:val="000A70FB"/>
    <w:rsid w:val="000B1E74"/>
    <w:rsid w:val="000B5A17"/>
    <w:rsid w:val="000B5CE8"/>
    <w:rsid w:val="000C1B03"/>
    <w:rsid w:val="000C282C"/>
    <w:rsid w:val="000D3898"/>
    <w:rsid w:val="000E02CF"/>
    <w:rsid w:val="000E2A29"/>
    <w:rsid w:val="000E690F"/>
    <w:rsid w:val="000F54E1"/>
    <w:rsid w:val="00102708"/>
    <w:rsid w:val="001129A5"/>
    <w:rsid w:val="001144C3"/>
    <w:rsid w:val="00115FF5"/>
    <w:rsid w:val="00116C91"/>
    <w:rsid w:val="00121374"/>
    <w:rsid w:val="0013287A"/>
    <w:rsid w:val="00134AB4"/>
    <w:rsid w:val="00136CFB"/>
    <w:rsid w:val="00150977"/>
    <w:rsid w:val="00150D5E"/>
    <w:rsid w:val="00154586"/>
    <w:rsid w:val="001572C9"/>
    <w:rsid w:val="00162206"/>
    <w:rsid w:val="001624C9"/>
    <w:rsid w:val="00165172"/>
    <w:rsid w:val="00174BA5"/>
    <w:rsid w:val="00175932"/>
    <w:rsid w:val="001902CF"/>
    <w:rsid w:val="00192317"/>
    <w:rsid w:val="00194169"/>
    <w:rsid w:val="001A39B7"/>
    <w:rsid w:val="001A41EB"/>
    <w:rsid w:val="001A5B0D"/>
    <w:rsid w:val="001C7D9E"/>
    <w:rsid w:val="001D0436"/>
    <w:rsid w:val="001D0C9D"/>
    <w:rsid w:val="001D0D5B"/>
    <w:rsid w:val="001E704C"/>
    <w:rsid w:val="001E7283"/>
    <w:rsid w:val="001F200D"/>
    <w:rsid w:val="001F62E2"/>
    <w:rsid w:val="001F7761"/>
    <w:rsid w:val="00202838"/>
    <w:rsid w:val="0020376D"/>
    <w:rsid w:val="0020751E"/>
    <w:rsid w:val="0020778E"/>
    <w:rsid w:val="0020794B"/>
    <w:rsid w:val="00214636"/>
    <w:rsid w:val="00214E5B"/>
    <w:rsid w:val="00216380"/>
    <w:rsid w:val="002173AF"/>
    <w:rsid w:val="00222D74"/>
    <w:rsid w:val="0022551B"/>
    <w:rsid w:val="002548C1"/>
    <w:rsid w:val="002727D9"/>
    <w:rsid w:val="002747F9"/>
    <w:rsid w:val="00274F11"/>
    <w:rsid w:val="0027704F"/>
    <w:rsid w:val="0028288D"/>
    <w:rsid w:val="0028706D"/>
    <w:rsid w:val="00287283"/>
    <w:rsid w:val="00296864"/>
    <w:rsid w:val="002978F5"/>
    <w:rsid w:val="002A1E1A"/>
    <w:rsid w:val="002A5B06"/>
    <w:rsid w:val="002B2C17"/>
    <w:rsid w:val="002B482A"/>
    <w:rsid w:val="002C24DC"/>
    <w:rsid w:val="002C33A1"/>
    <w:rsid w:val="002D1DC4"/>
    <w:rsid w:val="002D4EF8"/>
    <w:rsid w:val="002E7A44"/>
    <w:rsid w:val="002F04B0"/>
    <w:rsid w:val="0030333E"/>
    <w:rsid w:val="00304C68"/>
    <w:rsid w:val="00310B1A"/>
    <w:rsid w:val="00320B29"/>
    <w:rsid w:val="00324710"/>
    <w:rsid w:val="00330120"/>
    <w:rsid w:val="003355E8"/>
    <w:rsid w:val="0033621A"/>
    <w:rsid w:val="003367C3"/>
    <w:rsid w:val="00347233"/>
    <w:rsid w:val="0036178D"/>
    <w:rsid w:val="00374DBB"/>
    <w:rsid w:val="00377836"/>
    <w:rsid w:val="003778C2"/>
    <w:rsid w:val="00383509"/>
    <w:rsid w:val="00390B1F"/>
    <w:rsid w:val="003940EC"/>
    <w:rsid w:val="00396AF8"/>
    <w:rsid w:val="003A283A"/>
    <w:rsid w:val="003A3694"/>
    <w:rsid w:val="003B190F"/>
    <w:rsid w:val="003D5902"/>
    <w:rsid w:val="003E1816"/>
    <w:rsid w:val="003E22B5"/>
    <w:rsid w:val="003E4304"/>
    <w:rsid w:val="003F3710"/>
    <w:rsid w:val="003F516D"/>
    <w:rsid w:val="003F67EF"/>
    <w:rsid w:val="003F7AF7"/>
    <w:rsid w:val="00407E79"/>
    <w:rsid w:val="00411244"/>
    <w:rsid w:val="0041302D"/>
    <w:rsid w:val="00413263"/>
    <w:rsid w:val="004153E0"/>
    <w:rsid w:val="00415762"/>
    <w:rsid w:val="00426CA4"/>
    <w:rsid w:val="00432773"/>
    <w:rsid w:val="00445D43"/>
    <w:rsid w:val="00457ED4"/>
    <w:rsid w:val="0046196F"/>
    <w:rsid w:val="00461AB5"/>
    <w:rsid w:val="00462474"/>
    <w:rsid w:val="00483E42"/>
    <w:rsid w:val="00487DF9"/>
    <w:rsid w:val="00487FFD"/>
    <w:rsid w:val="00491832"/>
    <w:rsid w:val="004A2A10"/>
    <w:rsid w:val="004A2CD5"/>
    <w:rsid w:val="004B305F"/>
    <w:rsid w:val="004B3FDA"/>
    <w:rsid w:val="004C0B4C"/>
    <w:rsid w:val="004C3E02"/>
    <w:rsid w:val="004C5C81"/>
    <w:rsid w:val="004C62F5"/>
    <w:rsid w:val="004C63F1"/>
    <w:rsid w:val="004C67BF"/>
    <w:rsid w:val="004D22B3"/>
    <w:rsid w:val="004D69F1"/>
    <w:rsid w:val="004E62DE"/>
    <w:rsid w:val="004F27A4"/>
    <w:rsid w:val="004F6E90"/>
    <w:rsid w:val="00503803"/>
    <w:rsid w:val="00510E81"/>
    <w:rsid w:val="00512B40"/>
    <w:rsid w:val="00517449"/>
    <w:rsid w:val="00522BFF"/>
    <w:rsid w:val="00523022"/>
    <w:rsid w:val="00525630"/>
    <w:rsid w:val="00533836"/>
    <w:rsid w:val="00534FE9"/>
    <w:rsid w:val="0053500B"/>
    <w:rsid w:val="00536072"/>
    <w:rsid w:val="00543390"/>
    <w:rsid w:val="00543DD2"/>
    <w:rsid w:val="0054717E"/>
    <w:rsid w:val="00550812"/>
    <w:rsid w:val="005523B1"/>
    <w:rsid w:val="00554FDB"/>
    <w:rsid w:val="00560AFB"/>
    <w:rsid w:val="0056334A"/>
    <w:rsid w:val="00563F68"/>
    <w:rsid w:val="00570510"/>
    <w:rsid w:val="005733DC"/>
    <w:rsid w:val="00573697"/>
    <w:rsid w:val="00575F48"/>
    <w:rsid w:val="0057696E"/>
    <w:rsid w:val="0057761F"/>
    <w:rsid w:val="005858C7"/>
    <w:rsid w:val="005B22A7"/>
    <w:rsid w:val="005B56B9"/>
    <w:rsid w:val="005B5BE1"/>
    <w:rsid w:val="005B708C"/>
    <w:rsid w:val="005C0120"/>
    <w:rsid w:val="005D24FA"/>
    <w:rsid w:val="005D304A"/>
    <w:rsid w:val="005E227E"/>
    <w:rsid w:val="005F77E6"/>
    <w:rsid w:val="006031A7"/>
    <w:rsid w:val="00604AC8"/>
    <w:rsid w:val="00611A1B"/>
    <w:rsid w:val="00612E19"/>
    <w:rsid w:val="006224F5"/>
    <w:rsid w:val="006335AC"/>
    <w:rsid w:val="00637197"/>
    <w:rsid w:val="006429D7"/>
    <w:rsid w:val="00645C8D"/>
    <w:rsid w:val="00650907"/>
    <w:rsid w:val="00650B6D"/>
    <w:rsid w:val="00651D8A"/>
    <w:rsid w:val="0065452C"/>
    <w:rsid w:val="0066361F"/>
    <w:rsid w:val="00671BB8"/>
    <w:rsid w:val="0067783D"/>
    <w:rsid w:val="006940A9"/>
    <w:rsid w:val="0069620B"/>
    <w:rsid w:val="006A2E28"/>
    <w:rsid w:val="006A498E"/>
    <w:rsid w:val="006A6980"/>
    <w:rsid w:val="006B0556"/>
    <w:rsid w:val="006B2E72"/>
    <w:rsid w:val="006C1505"/>
    <w:rsid w:val="006C2485"/>
    <w:rsid w:val="006D072C"/>
    <w:rsid w:val="006D76C8"/>
    <w:rsid w:val="006E3B25"/>
    <w:rsid w:val="006F70C7"/>
    <w:rsid w:val="00701B74"/>
    <w:rsid w:val="00715ACC"/>
    <w:rsid w:val="007177B9"/>
    <w:rsid w:val="00721C91"/>
    <w:rsid w:val="0072304E"/>
    <w:rsid w:val="00723B70"/>
    <w:rsid w:val="00751A11"/>
    <w:rsid w:val="00754131"/>
    <w:rsid w:val="00755994"/>
    <w:rsid w:val="00757609"/>
    <w:rsid w:val="00757CFD"/>
    <w:rsid w:val="00757ED3"/>
    <w:rsid w:val="0076664F"/>
    <w:rsid w:val="00770E18"/>
    <w:rsid w:val="00771CEC"/>
    <w:rsid w:val="00775FDB"/>
    <w:rsid w:val="007771C1"/>
    <w:rsid w:val="007802CC"/>
    <w:rsid w:val="0078302B"/>
    <w:rsid w:val="007832C0"/>
    <w:rsid w:val="00783FAF"/>
    <w:rsid w:val="007945B7"/>
    <w:rsid w:val="007A3339"/>
    <w:rsid w:val="007A53C1"/>
    <w:rsid w:val="007B062C"/>
    <w:rsid w:val="007B5EA3"/>
    <w:rsid w:val="007B7948"/>
    <w:rsid w:val="007D1C31"/>
    <w:rsid w:val="007D2D96"/>
    <w:rsid w:val="007D337A"/>
    <w:rsid w:val="007D54F1"/>
    <w:rsid w:val="007E47E5"/>
    <w:rsid w:val="007E5334"/>
    <w:rsid w:val="007E7755"/>
    <w:rsid w:val="007F11BD"/>
    <w:rsid w:val="007F539F"/>
    <w:rsid w:val="007F6FEC"/>
    <w:rsid w:val="008002AA"/>
    <w:rsid w:val="00801BFE"/>
    <w:rsid w:val="008042F0"/>
    <w:rsid w:val="00805469"/>
    <w:rsid w:val="00807929"/>
    <w:rsid w:val="00811CAB"/>
    <w:rsid w:val="00812BC0"/>
    <w:rsid w:val="00815396"/>
    <w:rsid w:val="00817500"/>
    <w:rsid w:val="008220B5"/>
    <w:rsid w:val="00830EF8"/>
    <w:rsid w:val="008329B6"/>
    <w:rsid w:val="00837B0B"/>
    <w:rsid w:val="00837E8D"/>
    <w:rsid w:val="0084049F"/>
    <w:rsid w:val="00850CFF"/>
    <w:rsid w:val="00850FC4"/>
    <w:rsid w:val="00856E29"/>
    <w:rsid w:val="00864BD9"/>
    <w:rsid w:val="0086533F"/>
    <w:rsid w:val="00865647"/>
    <w:rsid w:val="00865A7B"/>
    <w:rsid w:val="00871C28"/>
    <w:rsid w:val="00877665"/>
    <w:rsid w:val="00882B81"/>
    <w:rsid w:val="00890302"/>
    <w:rsid w:val="0089390C"/>
    <w:rsid w:val="0089533B"/>
    <w:rsid w:val="00897C98"/>
    <w:rsid w:val="008A1EE0"/>
    <w:rsid w:val="008A27E9"/>
    <w:rsid w:val="008A3281"/>
    <w:rsid w:val="008A35BA"/>
    <w:rsid w:val="008A3E06"/>
    <w:rsid w:val="008A43E8"/>
    <w:rsid w:val="008A4BE0"/>
    <w:rsid w:val="008A599C"/>
    <w:rsid w:val="008B220B"/>
    <w:rsid w:val="008B2343"/>
    <w:rsid w:val="008B43C5"/>
    <w:rsid w:val="008B7D19"/>
    <w:rsid w:val="008C1BE0"/>
    <w:rsid w:val="008C2F3A"/>
    <w:rsid w:val="008C647F"/>
    <w:rsid w:val="008D45BC"/>
    <w:rsid w:val="008D4609"/>
    <w:rsid w:val="008D587D"/>
    <w:rsid w:val="008D5E2D"/>
    <w:rsid w:val="008E6D3C"/>
    <w:rsid w:val="008E7E16"/>
    <w:rsid w:val="008F1937"/>
    <w:rsid w:val="008F19B6"/>
    <w:rsid w:val="008F1A09"/>
    <w:rsid w:val="008F28E4"/>
    <w:rsid w:val="008F36F2"/>
    <w:rsid w:val="008F398A"/>
    <w:rsid w:val="00901999"/>
    <w:rsid w:val="00902463"/>
    <w:rsid w:val="00905F0B"/>
    <w:rsid w:val="00906C39"/>
    <w:rsid w:val="009153CA"/>
    <w:rsid w:val="00922216"/>
    <w:rsid w:val="0092377B"/>
    <w:rsid w:val="00936C72"/>
    <w:rsid w:val="00942A40"/>
    <w:rsid w:val="00947BE5"/>
    <w:rsid w:val="0095012D"/>
    <w:rsid w:val="0095210C"/>
    <w:rsid w:val="0095430E"/>
    <w:rsid w:val="009549A7"/>
    <w:rsid w:val="009572C0"/>
    <w:rsid w:val="00965DA5"/>
    <w:rsid w:val="00966EBB"/>
    <w:rsid w:val="009722FB"/>
    <w:rsid w:val="00972608"/>
    <w:rsid w:val="0097281A"/>
    <w:rsid w:val="009751F3"/>
    <w:rsid w:val="009812FF"/>
    <w:rsid w:val="00982371"/>
    <w:rsid w:val="00992B4E"/>
    <w:rsid w:val="00993FC5"/>
    <w:rsid w:val="009943E1"/>
    <w:rsid w:val="00997C6B"/>
    <w:rsid w:val="009A17FC"/>
    <w:rsid w:val="009A54CD"/>
    <w:rsid w:val="009B333D"/>
    <w:rsid w:val="009B3B7B"/>
    <w:rsid w:val="009C03DD"/>
    <w:rsid w:val="009C09B0"/>
    <w:rsid w:val="009C716A"/>
    <w:rsid w:val="009D6D12"/>
    <w:rsid w:val="009E4A3B"/>
    <w:rsid w:val="009F55E2"/>
    <w:rsid w:val="009F671C"/>
    <w:rsid w:val="00A00B12"/>
    <w:rsid w:val="00A125A2"/>
    <w:rsid w:val="00A23964"/>
    <w:rsid w:val="00A26811"/>
    <w:rsid w:val="00A268DD"/>
    <w:rsid w:val="00A26E30"/>
    <w:rsid w:val="00A30FED"/>
    <w:rsid w:val="00A4184D"/>
    <w:rsid w:val="00A447B4"/>
    <w:rsid w:val="00A5243E"/>
    <w:rsid w:val="00A5367C"/>
    <w:rsid w:val="00A573A8"/>
    <w:rsid w:val="00A62245"/>
    <w:rsid w:val="00A7062E"/>
    <w:rsid w:val="00A73A7C"/>
    <w:rsid w:val="00A75A65"/>
    <w:rsid w:val="00A80B8B"/>
    <w:rsid w:val="00A8370F"/>
    <w:rsid w:val="00A929D1"/>
    <w:rsid w:val="00A94915"/>
    <w:rsid w:val="00A96684"/>
    <w:rsid w:val="00A97BBF"/>
    <w:rsid w:val="00AA2170"/>
    <w:rsid w:val="00AA401D"/>
    <w:rsid w:val="00AA57EC"/>
    <w:rsid w:val="00AB4AD8"/>
    <w:rsid w:val="00AB4D0D"/>
    <w:rsid w:val="00AB53CB"/>
    <w:rsid w:val="00AB5A9F"/>
    <w:rsid w:val="00AB6635"/>
    <w:rsid w:val="00AC0CB1"/>
    <w:rsid w:val="00AC5E29"/>
    <w:rsid w:val="00AD273A"/>
    <w:rsid w:val="00AD3849"/>
    <w:rsid w:val="00AD3DDC"/>
    <w:rsid w:val="00AE0AC6"/>
    <w:rsid w:val="00AE5255"/>
    <w:rsid w:val="00AE67CD"/>
    <w:rsid w:val="00AE6CBE"/>
    <w:rsid w:val="00AF1079"/>
    <w:rsid w:val="00AF37A8"/>
    <w:rsid w:val="00AF3D0F"/>
    <w:rsid w:val="00B00F3D"/>
    <w:rsid w:val="00B07FE8"/>
    <w:rsid w:val="00B1185B"/>
    <w:rsid w:val="00B14EA4"/>
    <w:rsid w:val="00B241FD"/>
    <w:rsid w:val="00B252FB"/>
    <w:rsid w:val="00B3055A"/>
    <w:rsid w:val="00B37E1C"/>
    <w:rsid w:val="00B415CE"/>
    <w:rsid w:val="00B43473"/>
    <w:rsid w:val="00B45304"/>
    <w:rsid w:val="00B46024"/>
    <w:rsid w:val="00B563CD"/>
    <w:rsid w:val="00B56759"/>
    <w:rsid w:val="00B57DC0"/>
    <w:rsid w:val="00B9094C"/>
    <w:rsid w:val="00B92841"/>
    <w:rsid w:val="00B977DB"/>
    <w:rsid w:val="00BA14B7"/>
    <w:rsid w:val="00BA2CBB"/>
    <w:rsid w:val="00BB312E"/>
    <w:rsid w:val="00BC0986"/>
    <w:rsid w:val="00BC193A"/>
    <w:rsid w:val="00BC3827"/>
    <w:rsid w:val="00BC69AA"/>
    <w:rsid w:val="00BE076C"/>
    <w:rsid w:val="00C0244B"/>
    <w:rsid w:val="00C12741"/>
    <w:rsid w:val="00C15743"/>
    <w:rsid w:val="00C17666"/>
    <w:rsid w:val="00C26345"/>
    <w:rsid w:val="00C279A3"/>
    <w:rsid w:val="00C33994"/>
    <w:rsid w:val="00C411BD"/>
    <w:rsid w:val="00C42B2E"/>
    <w:rsid w:val="00C43660"/>
    <w:rsid w:val="00C4615A"/>
    <w:rsid w:val="00C50742"/>
    <w:rsid w:val="00C54E2E"/>
    <w:rsid w:val="00C5571A"/>
    <w:rsid w:val="00C60A24"/>
    <w:rsid w:val="00C634DE"/>
    <w:rsid w:val="00C659AC"/>
    <w:rsid w:val="00C722E2"/>
    <w:rsid w:val="00C73C5C"/>
    <w:rsid w:val="00C74197"/>
    <w:rsid w:val="00C77C49"/>
    <w:rsid w:val="00C77F8F"/>
    <w:rsid w:val="00C87FDB"/>
    <w:rsid w:val="00CA06D1"/>
    <w:rsid w:val="00CA6005"/>
    <w:rsid w:val="00CB3FA1"/>
    <w:rsid w:val="00CB4BCD"/>
    <w:rsid w:val="00CC6240"/>
    <w:rsid w:val="00CC673D"/>
    <w:rsid w:val="00CC753E"/>
    <w:rsid w:val="00CD1E79"/>
    <w:rsid w:val="00CD5CDC"/>
    <w:rsid w:val="00CE2F4D"/>
    <w:rsid w:val="00CE654E"/>
    <w:rsid w:val="00CF7C46"/>
    <w:rsid w:val="00D01CED"/>
    <w:rsid w:val="00D0203E"/>
    <w:rsid w:val="00D02D47"/>
    <w:rsid w:val="00D03811"/>
    <w:rsid w:val="00D13553"/>
    <w:rsid w:val="00D14FF1"/>
    <w:rsid w:val="00D24368"/>
    <w:rsid w:val="00D247F5"/>
    <w:rsid w:val="00D24E44"/>
    <w:rsid w:val="00D253FF"/>
    <w:rsid w:val="00D35CD1"/>
    <w:rsid w:val="00D422EE"/>
    <w:rsid w:val="00D428F1"/>
    <w:rsid w:val="00D437B8"/>
    <w:rsid w:val="00D44FCC"/>
    <w:rsid w:val="00D46DB8"/>
    <w:rsid w:val="00D5203F"/>
    <w:rsid w:val="00D524AA"/>
    <w:rsid w:val="00D54262"/>
    <w:rsid w:val="00D54B3D"/>
    <w:rsid w:val="00D55C40"/>
    <w:rsid w:val="00D567D6"/>
    <w:rsid w:val="00D57A54"/>
    <w:rsid w:val="00D649B4"/>
    <w:rsid w:val="00D72F16"/>
    <w:rsid w:val="00D74D82"/>
    <w:rsid w:val="00D818F5"/>
    <w:rsid w:val="00D848AA"/>
    <w:rsid w:val="00D856D8"/>
    <w:rsid w:val="00D86825"/>
    <w:rsid w:val="00D87330"/>
    <w:rsid w:val="00D92363"/>
    <w:rsid w:val="00D95974"/>
    <w:rsid w:val="00D97DBA"/>
    <w:rsid w:val="00DA3A01"/>
    <w:rsid w:val="00DA3FA8"/>
    <w:rsid w:val="00DA4800"/>
    <w:rsid w:val="00DA4E9E"/>
    <w:rsid w:val="00DA700F"/>
    <w:rsid w:val="00DA7A16"/>
    <w:rsid w:val="00DB5BC9"/>
    <w:rsid w:val="00DB5FCA"/>
    <w:rsid w:val="00DC0878"/>
    <w:rsid w:val="00DC212A"/>
    <w:rsid w:val="00DC4103"/>
    <w:rsid w:val="00DC72C5"/>
    <w:rsid w:val="00DC7636"/>
    <w:rsid w:val="00DD48E0"/>
    <w:rsid w:val="00DE3D42"/>
    <w:rsid w:val="00DE6728"/>
    <w:rsid w:val="00DF19EF"/>
    <w:rsid w:val="00DF66AC"/>
    <w:rsid w:val="00E000D3"/>
    <w:rsid w:val="00E069F0"/>
    <w:rsid w:val="00E130A7"/>
    <w:rsid w:val="00E14A1B"/>
    <w:rsid w:val="00E179DE"/>
    <w:rsid w:val="00E17D71"/>
    <w:rsid w:val="00E22EEA"/>
    <w:rsid w:val="00E37376"/>
    <w:rsid w:val="00E408F1"/>
    <w:rsid w:val="00E41471"/>
    <w:rsid w:val="00E41502"/>
    <w:rsid w:val="00E44F55"/>
    <w:rsid w:val="00E6702B"/>
    <w:rsid w:val="00E80BF1"/>
    <w:rsid w:val="00E826F0"/>
    <w:rsid w:val="00EB198F"/>
    <w:rsid w:val="00EB64D2"/>
    <w:rsid w:val="00EC25EE"/>
    <w:rsid w:val="00EC7C5C"/>
    <w:rsid w:val="00ED1C27"/>
    <w:rsid w:val="00EE3AE2"/>
    <w:rsid w:val="00EE415F"/>
    <w:rsid w:val="00EE713F"/>
    <w:rsid w:val="00EF07F2"/>
    <w:rsid w:val="00EF24CC"/>
    <w:rsid w:val="00EF2908"/>
    <w:rsid w:val="00EF2B80"/>
    <w:rsid w:val="00EF50C2"/>
    <w:rsid w:val="00EF793F"/>
    <w:rsid w:val="00F006B8"/>
    <w:rsid w:val="00F04A14"/>
    <w:rsid w:val="00F17576"/>
    <w:rsid w:val="00F2281C"/>
    <w:rsid w:val="00F243C8"/>
    <w:rsid w:val="00F304AB"/>
    <w:rsid w:val="00F412DB"/>
    <w:rsid w:val="00F41FB1"/>
    <w:rsid w:val="00F45D8D"/>
    <w:rsid w:val="00F76138"/>
    <w:rsid w:val="00F76EB6"/>
    <w:rsid w:val="00F83168"/>
    <w:rsid w:val="00F83701"/>
    <w:rsid w:val="00F900E2"/>
    <w:rsid w:val="00F90BAB"/>
    <w:rsid w:val="00F91F46"/>
    <w:rsid w:val="00FA3E89"/>
    <w:rsid w:val="00FA3FB3"/>
    <w:rsid w:val="00FA6757"/>
    <w:rsid w:val="00FA71C9"/>
    <w:rsid w:val="00FB1DB1"/>
    <w:rsid w:val="00FB4364"/>
    <w:rsid w:val="00FC59B4"/>
    <w:rsid w:val="00FC7214"/>
    <w:rsid w:val="00FD4032"/>
    <w:rsid w:val="00FD51FF"/>
    <w:rsid w:val="00FD5578"/>
    <w:rsid w:val="00FE227C"/>
    <w:rsid w:val="00FE6169"/>
    <w:rsid w:val="00FE6CBA"/>
    <w:rsid w:val="00FE7A20"/>
    <w:rsid w:val="00FF041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4BE6"/>
  <w15:chartTrackingRefBased/>
  <w15:docId w15:val="{11F855D3-5169-4D63-83A9-A04D8358D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1FF"/>
    <w:rPr>
      <w:rFonts w:eastAsiaTheme="majorEastAsia" w:cstheme="majorBidi"/>
      <w:color w:val="272727" w:themeColor="text1" w:themeTint="D8"/>
    </w:rPr>
  </w:style>
  <w:style w:type="paragraph" w:styleId="Title">
    <w:name w:val="Title"/>
    <w:basedOn w:val="Normal"/>
    <w:next w:val="Normal"/>
    <w:link w:val="TitleChar"/>
    <w:uiPriority w:val="10"/>
    <w:qFormat/>
    <w:rsid w:val="00FD5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1FF"/>
    <w:pPr>
      <w:spacing w:before="160"/>
      <w:jc w:val="center"/>
    </w:pPr>
    <w:rPr>
      <w:i/>
      <w:iCs/>
      <w:color w:val="404040" w:themeColor="text1" w:themeTint="BF"/>
    </w:rPr>
  </w:style>
  <w:style w:type="character" w:customStyle="1" w:styleId="QuoteChar">
    <w:name w:val="Quote Char"/>
    <w:basedOn w:val="DefaultParagraphFont"/>
    <w:link w:val="Quote"/>
    <w:uiPriority w:val="29"/>
    <w:rsid w:val="00FD51FF"/>
    <w:rPr>
      <w:i/>
      <w:iCs/>
      <w:color w:val="404040" w:themeColor="text1" w:themeTint="BF"/>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FD51FF"/>
    <w:pPr>
      <w:ind w:left="720"/>
      <w:contextualSpacing/>
    </w:pPr>
  </w:style>
  <w:style w:type="character" w:styleId="IntenseEmphasis">
    <w:name w:val="Intense Emphasis"/>
    <w:basedOn w:val="DefaultParagraphFont"/>
    <w:uiPriority w:val="21"/>
    <w:qFormat/>
    <w:rsid w:val="00FD51FF"/>
    <w:rPr>
      <w:i/>
      <w:iCs/>
      <w:color w:val="2F5496" w:themeColor="accent1" w:themeShade="BF"/>
    </w:rPr>
  </w:style>
  <w:style w:type="paragraph" w:styleId="IntenseQuote">
    <w:name w:val="Intense Quote"/>
    <w:basedOn w:val="Normal"/>
    <w:next w:val="Normal"/>
    <w:link w:val="IntenseQuoteChar"/>
    <w:uiPriority w:val="30"/>
    <w:qFormat/>
    <w:rsid w:val="00FD5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1FF"/>
    <w:rPr>
      <w:i/>
      <w:iCs/>
      <w:color w:val="2F5496" w:themeColor="accent1" w:themeShade="BF"/>
    </w:rPr>
  </w:style>
  <w:style w:type="character" w:styleId="IntenseReference">
    <w:name w:val="Intense Reference"/>
    <w:basedOn w:val="DefaultParagraphFont"/>
    <w:uiPriority w:val="32"/>
    <w:qFormat/>
    <w:rsid w:val="00FD51FF"/>
    <w:rPr>
      <w:b/>
      <w:bCs/>
      <w:smallCaps/>
      <w:color w:val="2F5496" w:themeColor="accent1" w:themeShade="BF"/>
      <w:spacing w:val="5"/>
    </w:rPr>
  </w:style>
  <w:style w:type="paragraph" w:styleId="Header">
    <w:name w:val="header"/>
    <w:basedOn w:val="Normal"/>
    <w:link w:val="HeaderChar"/>
    <w:uiPriority w:val="99"/>
    <w:unhideWhenUsed/>
    <w:rsid w:val="00BA2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CBB"/>
  </w:style>
  <w:style w:type="paragraph" w:styleId="Footer">
    <w:name w:val="footer"/>
    <w:basedOn w:val="Normal"/>
    <w:link w:val="FooterChar"/>
    <w:uiPriority w:val="99"/>
    <w:unhideWhenUsed/>
    <w:rsid w:val="00BA2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CBB"/>
  </w:style>
  <w:style w:type="table" w:styleId="TableGrid">
    <w:name w:val="Table Grid"/>
    <w:basedOn w:val="TableNormal"/>
    <w:uiPriority w:val="39"/>
    <w:rsid w:val="00E17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CA06D1"/>
  </w:style>
  <w:style w:type="paragraph" w:styleId="NormalWeb">
    <w:name w:val="Normal (Web)"/>
    <w:basedOn w:val="Normal"/>
    <w:uiPriority w:val="99"/>
    <w:unhideWhenUsed/>
    <w:rsid w:val="007771C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FootnoteText">
    <w:name w:val="footnote text"/>
    <w:basedOn w:val="Normal"/>
    <w:link w:val="FootnoteTextChar"/>
    <w:uiPriority w:val="99"/>
    <w:semiHidden/>
    <w:unhideWhenUsed/>
    <w:rsid w:val="005038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3803"/>
    <w:rPr>
      <w:sz w:val="20"/>
      <w:szCs w:val="20"/>
    </w:rPr>
  </w:style>
  <w:style w:type="character" w:styleId="Hyperlink">
    <w:name w:val="Hyperlink"/>
    <w:basedOn w:val="DefaultParagraphFont"/>
    <w:uiPriority w:val="99"/>
    <w:semiHidden/>
    <w:unhideWhenUsed/>
    <w:rsid w:val="00503803"/>
    <w:rPr>
      <w:color w:val="0563C1" w:themeColor="hyperlink"/>
      <w:u w:val="single"/>
    </w:rPr>
  </w:style>
  <w:style w:type="character" w:styleId="FootnoteReference">
    <w:name w:val="footnote reference"/>
    <w:basedOn w:val="DefaultParagraphFont"/>
    <w:uiPriority w:val="99"/>
    <w:semiHidden/>
    <w:unhideWhenUsed/>
    <w:rsid w:val="00503803"/>
    <w:rPr>
      <w:vertAlign w:val="superscript"/>
    </w:rPr>
  </w:style>
  <w:style w:type="character" w:customStyle="1" w:styleId="whitespace-normal">
    <w:name w:val="whitespace-normal"/>
    <w:basedOn w:val="DefaultParagraphFont"/>
    <w:rsid w:val="00A53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532163">
      <w:bodyDiv w:val="1"/>
      <w:marLeft w:val="0"/>
      <w:marRight w:val="0"/>
      <w:marTop w:val="0"/>
      <w:marBottom w:val="0"/>
      <w:divBdr>
        <w:top w:val="none" w:sz="0" w:space="0" w:color="auto"/>
        <w:left w:val="none" w:sz="0" w:space="0" w:color="auto"/>
        <w:bottom w:val="none" w:sz="0" w:space="0" w:color="auto"/>
        <w:right w:val="none" w:sz="0" w:space="0" w:color="auto"/>
      </w:divBdr>
      <w:divsChild>
        <w:div w:id="1683046265">
          <w:marLeft w:val="0"/>
          <w:marRight w:val="0"/>
          <w:marTop w:val="0"/>
          <w:marBottom w:val="0"/>
          <w:divBdr>
            <w:top w:val="none" w:sz="0" w:space="0" w:color="auto"/>
            <w:left w:val="none" w:sz="0" w:space="0" w:color="auto"/>
            <w:bottom w:val="none" w:sz="0" w:space="0" w:color="auto"/>
            <w:right w:val="none" w:sz="0" w:space="0" w:color="auto"/>
          </w:divBdr>
          <w:divsChild>
            <w:div w:id="6939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4149">
      <w:bodyDiv w:val="1"/>
      <w:marLeft w:val="0"/>
      <w:marRight w:val="0"/>
      <w:marTop w:val="0"/>
      <w:marBottom w:val="0"/>
      <w:divBdr>
        <w:top w:val="none" w:sz="0" w:space="0" w:color="auto"/>
        <w:left w:val="none" w:sz="0" w:space="0" w:color="auto"/>
        <w:bottom w:val="none" w:sz="0" w:space="0" w:color="auto"/>
        <w:right w:val="none" w:sz="0" w:space="0" w:color="auto"/>
      </w:divBdr>
    </w:div>
    <w:div w:id="986011740">
      <w:bodyDiv w:val="1"/>
      <w:marLeft w:val="0"/>
      <w:marRight w:val="0"/>
      <w:marTop w:val="0"/>
      <w:marBottom w:val="0"/>
      <w:divBdr>
        <w:top w:val="none" w:sz="0" w:space="0" w:color="auto"/>
        <w:left w:val="none" w:sz="0" w:space="0" w:color="auto"/>
        <w:bottom w:val="none" w:sz="0" w:space="0" w:color="auto"/>
        <w:right w:val="none" w:sz="0" w:space="0" w:color="auto"/>
      </w:divBdr>
    </w:div>
    <w:div w:id="1466047792">
      <w:bodyDiv w:val="1"/>
      <w:marLeft w:val="0"/>
      <w:marRight w:val="0"/>
      <w:marTop w:val="0"/>
      <w:marBottom w:val="0"/>
      <w:divBdr>
        <w:top w:val="none" w:sz="0" w:space="0" w:color="auto"/>
        <w:left w:val="none" w:sz="0" w:space="0" w:color="auto"/>
        <w:bottom w:val="none" w:sz="0" w:space="0" w:color="auto"/>
        <w:right w:val="none" w:sz="0" w:space="0" w:color="auto"/>
      </w:divBdr>
    </w:div>
    <w:div w:id="2011135596">
      <w:bodyDiv w:val="1"/>
      <w:marLeft w:val="0"/>
      <w:marRight w:val="0"/>
      <w:marTop w:val="0"/>
      <w:marBottom w:val="0"/>
      <w:divBdr>
        <w:top w:val="none" w:sz="0" w:space="0" w:color="auto"/>
        <w:left w:val="none" w:sz="0" w:space="0" w:color="auto"/>
        <w:bottom w:val="none" w:sz="0" w:space="0" w:color="auto"/>
        <w:right w:val="none" w:sz="0" w:space="0" w:color="auto"/>
      </w:divBdr>
      <w:divsChild>
        <w:div w:id="166403811">
          <w:marLeft w:val="0"/>
          <w:marRight w:val="0"/>
          <w:marTop w:val="0"/>
          <w:marBottom w:val="0"/>
          <w:divBdr>
            <w:top w:val="none" w:sz="0" w:space="0" w:color="auto"/>
            <w:left w:val="none" w:sz="0" w:space="0" w:color="auto"/>
            <w:bottom w:val="none" w:sz="0" w:space="0" w:color="auto"/>
            <w:right w:val="none" w:sz="0" w:space="0" w:color="auto"/>
          </w:divBdr>
          <w:divsChild>
            <w:div w:id="14720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3454</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Kumar Trivedi</dc:creator>
  <cp:keywords/>
  <dc:description/>
  <cp:lastModifiedBy>ANAND KUMAR</cp:lastModifiedBy>
  <cp:revision>2</cp:revision>
  <cp:lastPrinted>2026-03-20T04:35:00Z</cp:lastPrinted>
  <dcterms:created xsi:type="dcterms:W3CDTF">2026-04-10T12:24:00Z</dcterms:created>
  <dcterms:modified xsi:type="dcterms:W3CDTF">2026-04-10T12:24:00Z</dcterms:modified>
</cp:coreProperties>
</file>