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B0C26" w14:textId="3BDC81EA" w:rsidR="00B96A32" w:rsidRPr="002D6C98" w:rsidRDefault="00B96A32" w:rsidP="003B7F30">
      <w:pPr>
        <w:spacing w:after="120" w:line="240" w:lineRule="auto"/>
        <w:contextualSpacing/>
        <w:jc w:val="center"/>
        <w:rPr>
          <w:rFonts w:ascii="Bookman Old Style" w:hAnsi="Bookman Old Style" w:cs="Tahoma"/>
          <w:b/>
          <w:bCs/>
          <w:color w:val="4C94D8" w:themeColor="text2" w:themeTint="80"/>
          <w:sz w:val="28"/>
          <w:szCs w:val="28"/>
          <w:u w:val="single"/>
        </w:rPr>
      </w:pPr>
      <w:r w:rsidRPr="002D6C98">
        <w:rPr>
          <w:rFonts w:ascii="Bookman Old Style" w:hAnsi="Bookman Old Style" w:cs="Tahoma"/>
          <w:b/>
          <w:bCs/>
          <w:color w:val="4C94D8" w:themeColor="text2" w:themeTint="80"/>
          <w:sz w:val="28"/>
          <w:szCs w:val="28"/>
          <w:u w:val="single"/>
        </w:rPr>
        <w:t>Broadband India Forum</w:t>
      </w:r>
    </w:p>
    <w:p w14:paraId="0010239D" w14:textId="77777777" w:rsidR="007D1AA7" w:rsidRDefault="00523F7D" w:rsidP="003B7F30">
      <w:pPr>
        <w:spacing w:after="120" w:line="240" w:lineRule="auto"/>
        <w:contextualSpacing/>
        <w:jc w:val="center"/>
        <w:rPr>
          <w:rFonts w:ascii="Bookman Old Style" w:hAnsi="Bookman Old Style" w:cs="Tahoma"/>
          <w:b/>
          <w:bCs/>
          <w:color w:val="4C94D8" w:themeColor="text2" w:themeTint="80"/>
          <w:sz w:val="28"/>
          <w:szCs w:val="28"/>
          <w:u w:val="single"/>
        </w:rPr>
      </w:pPr>
      <w:r w:rsidRPr="002D6C98">
        <w:rPr>
          <w:rFonts w:ascii="Bookman Old Style" w:hAnsi="Bookman Old Style" w:cs="Tahoma"/>
          <w:b/>
          <w:bCs/>
          <w:color w:val="4C94D8" w:themeColor="text2" w:themeTint="80"/>
          <w:sz w:val="28"/>
          <w:szCs w:val="28"/>
          <w:u w:val="single"/>
        </w:rPr>
        <w:t>1st Convergent Conference on</w:t>
      </w:r>
    </w:p>
    <w:p w14:paraId="71C46B9F" w14:textId="4BC5D884" w:rsidR="00523F7D" w:rsidRPr="002D6C98" w:rsidRDefault="00523F7D" w:rsidP="003B7F30">
      <w:pPr>
        <w:spacing w:after="120" w:line="240" w:lineRule="auto"/>
        <w:contextualSpacing/>
        <w:jc w:val="center"/>
        <w:rPr>
          <w:rFonts w:ascii="Bookman Old Style" w:hAnsi="Bookman Old Style" w:cs="Tahoma"/>
          <w:b/>
          <w:bCs/>
          <w:color w:val="4C94D8" w:themeColor="text2" w:themeTint="80"/>
          <w:sz w:val="28"/>
          <w:szCs w:val="28"/>
          <w:u w:val="single"/>
        </w:rPr>
      </w:pPr>
      <w:r w:rsidRPr="002D6C98">
        <w:rPr>
          <w:rFonts w:ascii="Bookman Old Style" w:hAnsi="Bookman Old Style" w:cs="Tahoma"/>
          <w:b/>
          <w:bCs/>
          <w:color w:val="4C94D8" w:themeColor="text2" w:themeTint="80"/>
          <w:sz w:val="28"/>
          <w:szCs w:val="28"/>
          <w:u w:val="single"/>
        </w:rPr>
        <w:t>Subsea Cable and Digital Cloud Infrastructure</w:t>
      </w:r>
    </w:p>
    <w:p w14:paraId="490574E7" w14:textId="4912D00D" w:rsidR="00B96A32" w:rsidRPr="002D6C98" w:rsidRDefault="00B96A32" w:rsidP="003B7F30">
      <w:pPr>
        <w:spacing w:after="120" w:line="240" w:lineRule="auto"/>
        <w:contextualSpacing/>
        <w:jc w:val="center"/>
        <w:rPr>
          <w:rFonts w:ascii="Bookman Old Style" w:hAnsi="Bookman Old Style" w:cs="Tahoma"/>
          <w:b/>
          <w:bCs/>
          <w:color w:val="4C94D8" w:themeColor="text2" w:themeTint="80"/>
          <w:sz w:val="28"/>
          <w:szCs w:val="28"/>
          <w:u w:val="single"/>
        </w:rPr>
      </w:pPr>
      <w:r w:rsidRPr="002D6C98">
        <w:rPr>
          <w:rFonts w:ascii="Bookman Old Style" w:hAnsi="Bookman Old Style" w:cs="Tahoma"/>
          <w:b/>
          <w:bCs/>
          <w:color w:val="4C94D8" w:themeColor="text2" w:themeTint="80"/>
          <w:sz w:val="28"/>
          <w:szCs w:val="28"/>
          <w:u w:val="single"/>
        </w:rPr>
        <w:t>2</w:t>
      </w:r>
      <w:r w:rsidR="004D2A16" w:rsidRPr="002D6C98">
        <w:rPr>
          <w:rFonts w:ascii="Bookman Old Style" w:hAnsi="Bookman Old Style" w:cs="Tahoma"/>
          <w:b/>
          <w:bCs/>
          <w:color w:val="4C94D8" w:themeColor="text2" w:themeTint="80"/>
          <w:sz w:val="28"/>
          <w:szCs w:val="28"/>
          <w:u w:val="single"/>
        </w:rPr>
        <w:t>4</w:t>
      </w:r>
      <w:r w:rsidRPr="002D6C98">
        <w:rPr>
          <w:rFonts w:ascii="Bookman Old Style" w:hAnsi="Bookman Old Style" w:cs="Tahoma"/>
          <w:b/>
          <w:bCs/>
          <w:color w:val="4C94D8" w:themeColor="text2" w:themeTint="80"/>
          <w:sz w:val="28"/>
          <w:szCs w:val="28"/>
          <w:u w:val="single"/>
          <w:vertAlign w:val="superscript"/>
        </w:rPr>
        <w:t>th</w:t>
      </w:r>
      <w:r w:rsidRPr="002D6C98">
        <w:rPr>
          <w:rFonts w:ascii="Bookman Old Style" w:hAnsi="Bookman Old Style" w:cs="Tahoma"/>
          <w:b/>
          <w:bCs/>
          <w:color w:val="4C94D8" w:themeColor="text2" w:themeTint="80"/>
          <w:sz w:val="28"/>
          <w:szCs w:val="28"/>
          <w:u w:val="single"/>
        </w:rPr>
        <w:t xml:space="preserve"> </w:t>
      </w:r>
      <w:r w:rsidR="004D2A16" w:rsidRPr="002D6C98">
        <w:rPr>
          <w:rFonts w:ascii="Bookman Old Style" w:hAnsi="Bookman Old Style" w:cs="Tahoma"/>
          <w:b/>
          <w:bCs/>
          <w:color w:val="4C94D8" w:themeColor="text2" w:themeTint="80"/>
          <w:sz w:val="28"/>
          <w:szCs w:val="28"/>
          <w:u w:val="single"/>
        </w:rPr>
        <w:t xml:space="preserve">February </w:t>
      </w:r>
      <w:r w:rsidRPr="002D6C98">
        <w:rPr>
          <w:rFonts w:ascii="Bookman Old Style" w:hAnsi="Bookman Old Style" w:cs="Tahoma"/>
          <w:b/>
          <w:bCs/>
          <w:color w:val="4C94D8" w:themeColor="text2" w:themeTint="80"/>
          <w:sz w:val="28"/>
          <w:szCs w:val="28"/>
          <w:u w:val="single"/>
        </w:rPr>
        <w:t>202</w:t>
      </w:r>
      <w:r w:rsidR="004D2A16" w:rsidRPr="002D6C98">
        <w:rPr>
          <w:rFonts w:ascii="Bookman Old Style" w:hAnsi="Bookman Old Style" w:cs="Tahoma"/>
          <w:b/>
          <w:bCs/>
          <w:color w:val="4C94D8" w:themeColor="text2" w:themeTint="80"/>
          <w:sz w:val="28"/>
          <w:szCs w:val="28"/>
          <w:u w:val="single"/>
        </w:rPr>
        <w:t>6</w:t>
      </w:r>
    </w:p>
    <w:p w14:paraId="04A7A53B" w14:textId="61C7CCB7" w:rsidR="00B96A32" w:rsidRPr="002D6C98" w:rsidRDefault="00B96A32" w:rsidP="003B7F30">
      <w:pPr>
        <w:spacing w:after="120" w:line="240" w:lineRule="auto"/>
        <w:contextualSpacing/>
        <w:jc w:val="center"/>
        <w:rPr>
          <w:rFonts w:ascii="Bookman Old Style" w:hAnsi="Bookman Old Style" w:cs="Tahoma"/>
          <w:b/>
          <w:bCs/>
          <w:color w:val="4C94D8" w:themeColor="text2" w:themeTint="80"/>
          <w:sz w:val="28"/>
          <w:szCs w:val="28"/>
          <w:u w:val="single"/>
        </w:rPr>
      </w:pPr>
      <w:r w:rsidRPr="002D6C98">
        <w:rPr>
          <w:rFonts w:ascii="Bookman Old Style" w:hAnsi="Bookman Old Style" w:cs="Tahoma"/>
          <w:b/>
          <w:bCs/>
          <w:color w:val="4C94D8" w:themeColor="text2" w:themeTint="80"/>
          <w:sz w:val="28"/>
          <w:szCs w:val="28"/>
          <w:u w:val="single"/>
        </w:rPr>
        <w:t>Shangri-La Hotel, New Delhi</w:t>
      </w:r>
    </w:p>
    <w:p w14:paraId="35AC909C" w14:textId="79C2F7B8" w:rsidR="006B5098" w:rsidRPr="002D6C98" w:rsidRDefault="006B5098" w:rsidP="003B7F30">
      <w:pPr>
        <w:spacing w:after="120"/>
        <w:contextualSpacing/>
        <w:jc w:val="center"/>
        <w:rPr>
          <w:rFonts w:ascii="Bookman Old Style" w:hAnsi="Bookman Old Style" w:cs="Tahoma"/>
          <w:b/>
          <w:bCs/>
          <w:color w:val="215E99" w:themeColor="text2" w:themeTint="BF"/>
          <w:sz w:val="24"/>
          <w:szCs w:val="24"/>
        </w:rPr>
      </w:pPr>
    </w:p>
    <w:p w14:paraId="36DB94DF" w14:textId="360BECB9" w:rsidR="00B96A32" w:rsidRPr="002D6C98" w:rsidRDefault="00B96A32" w:rsidP="003B7F30">
      <w:pPr>
        <w:spacing w:after="120"/>
        <w:contextualSpacing/>
        <w:jc w:val="center"/>
        <w:rPr>
          <w:rFonts w:ascii="Bookman Old Style" w:hAnsi="Bookman Old Style" w:cs="Tahoma"/>
          <w:b/>
          <w:bCs/>
          <w:sz w:val="24"/>
          <w:szCs w:val="24"/>
        </w:rPr>
      </w:pPr>
      <w:r w:rsidRPr="002D6C98">
        <w:rPr>
          <w:rFonts w:ascii="Bookman Old Style" w:hAnsi="Bookman Old Style" w:cs="Tahoma"/>
          <w:b/>
          <w:bCs/>
          <w:sz w:val="24"/>
          <w:szCs w:val="24"/>
        </w:rPr>
        <w:t>Address by the Chairman, TRAI</w:t>
      </w:r>
    </w:p>
    <w:p w14:paraId="4086E83C" w14:textId="15042AAB" w:rsidR="00B96A32" w:rsidRPr="002D6C98" w:rsidRDefault="006B5098" w:rsidP="003B7F30">
      <w:pPr>
        <w:spacing w:after="120"/>
        <w:ind w:right="-64"/>
        <w:contextualSpacing/>
        <w:jc w:val="center"/>
        <w:rPr>
          <w:rFonts w:ascii="Bookman Old Style" w:hAnsi="Bookman Old Style" w:cs="Tahoma"/>
          <w:sz w:val="24"/>
          <w:szCs w:val="24"/>
        </w:rPr>
      </w:pPr>
      <w:r w:rsidRPr="002D6C98">
        <w:rPr>
          <w:rFonts w:ascii="Bookman Old Style" w:hAnsi="Bookman Old Style" w:cs="Tahoma"/>
          <w:sz w:val="24"/>
          <w:szCs w:val="24"/>
        </w:rPr>
        <w:t>(</w:t>
      </w:r>
      <w:r w:rsidR="00523F7D" w:rsidRPr="002D6C98">
        <w:rPr>
          <w:rFonts w:ascii="Bookman Old Style" w:hAnsi="Bookman Old Style" w:cs="Tahoma"/>
          <w:b/>
          <w:bCs/>
          <w:sz w:val="24"/>
          <w:szCs w:val="24"/>
        </w:rPr>
        <w:t>"Connecting Continents, Scaling Digital Clouds"</w:t>
      </w:r>
      <w:r w:rsidRPr="002D6C98">
        <w:rPr>
          <w:rFonts w:ascii="Bookman Old Style" w:hAnsi="Bookman Old Style" w:cs="Tahoma"/>
          <w:sz w:val="24"/>
          <w:szCs w:val="24"/>
        </w:rPr>
        <w:t>)</w:t>
      </w:r>
    </w:p>
    <w:p w14:paraId="5FD8EF74" w14:textId="77777777" w:rsidR="006B5098" w:rsidRPr="002D6C98" w:rsidRDefault="006B5098" w:rsidP="003B7F30">
      <w:pPr>
        <w:pStyle w:val="ListParagraph"/>
        <w:spacing w:after="120" w:line="360" w:lineRule="auto"/>
        <w:ind w:left="360"/>
        <w:jc w:val="both"/>
        <w:rPr>
          <w:rFonts w:ascii="Bookman Old Style" w:hAnsi="Bookman Old Style" w:cs="Tahoma"/>
          <w:sz w:val="24"/>
          <w:szCs w:val="24"/>
        </w:rPr>
      </w:pPr>
    </w:p>
    <w:p w14:paraId="4DD5CC62" w14:textId="7CD77908" w:rsidR="00633950" w:rsidRPr="002D6C98" w:rsidRDefault="00633950" w:rsidP="003B7F30">
      <w:pPr>
        <w:spacing w:after="120" w:line="360" w:lineRule="auto"/>
        <w:contextualSpacing/>
        <w:jc w:val="both"/>
        <w:rPr>
          <w:rFonts w:ascii="Bookman Old Style" w:hAnsi="Bookman Old Style"/>
        </w:rPr>
      </w:pPr>
      <w:r w:rsidRPr="002D6C98">
        <w:rPr>
          <w:rFonts w:ascii="Bookman Old Style" w:hAnsi="Bookman Old Style"/>
          <w:b/>
          <w:bCs/>
          <w:i/>
          <w:iCs/>
        </w:rPr>
        <w:t xml:space="preserve">Respected Shri Jyotiraditya Scindia Ji, Hon’ble Minister of Communications </w:t>
      </w:r>
      <w:r w:rsidR="00A03018" w:rsidRPr="002D6C98">
        <w:rPr>
          <w:rFonts w:ascii="Bookman Old Style" w:hAnsi="Bookman Old Style"/>
          <w:b/>
          <w:bCs/>
          <w:i/>
          <w:iCs/>
        </w:rPr>
        <w:t>&amp; DONER</w:t>
      </w:r>
      <w:r w:rsidR="002A2430" w:rsidRPr="002D6C98">
        <w:rPr>
          <w:rFonts w:ascii="Bookman Old Style" w:hAnsi="Bookman Old Style"/>
          <w:b/>
          <w:bCs/>
          <w:i/>
          <w:iCs/>
        </w:rPr>
        <w:t xml:space="preserve"> also</w:t>
      </w:r>
      <w:r w:rsidRPr="002D6C98">
        <w:rPr>
          <w:rFonts w:ascii="Bookman Old Style" w:hAnsi="Bookman Old Style"/>
          <w:b/>
          <w:bCs/>
          <w:i/>
          <w:iCs/>
        </w:rPr>
        <w:t xml:space="preserve"> Chief Guest of today’s seminar, Guest of Honour Shri </w:t>
      </w:r>
      <w:r w:rsidR="00066B96" w:rsidRPr="002D6C98">
        <w:rPr>
          <w:rFonts w:ascii="Bookman Old Style" w:hAnsi="Bookman Old Style"/>
          <w:b/>
          <w:bCs/>
          <w:i/>
          <w:iCs/>
        </w:rPr>
        <w:t>Amit Agrawal</w:t>
      </w:r>
      <w:r w:rsidRPr="002D6C98">
        <w:rPr>
          <w:rFonts w:ascii="Bookman Old Style" w:hAnsi="Bookman Old Style"/>
          <w:b/>
          <w:bCs/>
          <w:i/>
          <w:iCs/>
        </w:rPr>
        <w:t xml:space="preserve"> Ji</w:t>
      </w:r>
      <w:r w:rsidR="001B481B" w:rsidRPr="002D6C98">
        <w:rPr>
          <w:rFonts w:ascii="Bookman Old Style" w:hAnsi="Bookman Old Style"/>
          <w:b/>
          <w:bCs/>
          <w:i/>
          <w:iCs/>
        </w:rPr>
        <w:t>, Secretary D</w:t>
      </w:r>
      <w:r w:rsidR="007F2D88">
        <w:rPr>
          <w:rFonts w:ascii="Bookman Old Style" w:hAnsi="Bookman Old Style"/>
          <w:b/>
          <w:bCs/>
          <w:i/>
          <w:iCs/>
        </w:rPr>
        <w:t>o</w:t>
      </w:r>
      <w:r w:rsidR="001B481B" w:rsidRPr="002D6C98">
        <w:rPr>
          <w:rFonts w:ascii="Bookman Old Style" w:hAnsi="Bookman Old Style"/>
          <w:b/>
          <w:bCs/>
          <w:i/>
          <w:iCs/>
        </w:rPr>
        <w:t>T</w:t>
      </w:r>
      <w:r w:rsidRPr="002D6C98">
        <w:rPr>
          <w:rFonts w:ascii="Bookman Old Style" w:hAnsi="Bookman Old Style"/>
          <w:b/>
          <w:bCs/>
          <w:i/>
          <w:iCs/>
        </w:rPr>
        <w:t>, Mr TV Ramachandran President BIF, Distinguished Guests from the industry, Ladies and Gentlemen</w:t>
      </w:r>
      <w:r w:rsidRPr="002D6C98">
        <w:rPr>
          <w:rFonts w:ascii="Bookman Old Style" w:hAnsi="Bookman Old Style"/>
        </w:rPr>
        <w:t>,</w:t>
      </w:r>
    </w:p>
    <w:p w14:paraId="1E8E9D38" w14:textId="77777777" w:rsidR="007C6984" w:rsidRPr="007C6984" w:rsidRDefault="00125B0B" w:rsidP="007C6984">
      <w:pPr>
        <w:pStyle w:val="NoSpacing"/>
        <w:numPr>
          <w:ilvl w:val="0"/>
          <w:numId w:val="31"/>
        </w:numPr>
        <w:spacing w:before="120" w:after="120" w:line="360" w:lineRule="auto"/>
        <w:ind w:left="0" w:hanging="540"/>
        <w:contextualSpacing/>
        <w:jc w:val="both"/>
        <w:rPr>
          <w:rFonts w:ascii="Bookman Old Style" w:hAnsi="Bookman Old Style" w:cs="Tahoma"/>
          <w:sz w:val="24"/>
          <w:szCs w:val="24"/>
        </w:rPr>
      </w:pPr>
      <w:r w:rsidRPr="007C6984">
        <w:rPr>
          <w:rFonts w:ascii="Bookman Old Style" w:hAnsi="Bookman Old Style" w:cs="Tahoma"/>
          <w:sz w:val="24"/>
          <w:szCs w:val="24"/>
        </w:rPr>
        <w:t>First</w:t>
      </w:r>
      <w:r w:rsidR="00F23A63" w:rsidRPr="007C6984">
        <w:rPr>
          <w:rFonts w:ascii="Bookman Old Style" w:hAnsi="Bookman Old Style" w:cs="Tahoma"/>
          <w:sz w:val="24"/>
          <w:szCs w:val="24"/>
        </w:rPr>
        <w:t xml:space="preserve">, I </w:t>
      </w:r>
      <w:r w:rsidR="007905CA" w:rsidRPr="007C6984">
        <w:rPr>
          <w:rFonts w:ascii="Bookman Old Style" w:hAnsi="Bookman Old Style" w:cs="Tahoma"/>
          <w:sz w:val="24"/>
          <w:szCs w:val="24"/>
        </w:rPr>
        <w:t>congratulate</w:t>
      </w:r>
      <w:r w:rsidR="00F23A63" w:rsidRPr="007C6984">
        <w:rPr>
          <w:rFonts w:ascii="Bookman Old Style" w:hAnsi="Bookman Old Style" w:cs="Tahoma"/>
          <w:sz w:val="24"/>
          <w:szCs w:val="24"/>
        </w:rPr>
        <w:t xml:space="preserve"> the Broadband India Forum (BIF) for organizing the </w:t>
      </w:r>
      <w:r w:rsidR="00E1461A" w:rsidRPr="007C6984">
        <w:rPr>
          <w:rFonts w:ascii="Bookman Old Style" w:hAnsi="Bookman Old Style" w:cs="Tahoma"/>
          <w:sz w:val="24"/>
          <w:szCs w:val="24"/>
        </w:rPr>
        <w:t xml:space="preserve">1st Convergent Conference on Subsea Cable and Digital Cloud </w:t>
      </w:r>
      <w:r w:rsidR="00055680" w:rsidRPr="007C6984">
        <w:rPr>
          <w:rFonts w:ascii="Bookman Old Style" w:hAnsi="Bookman Old Style" w:cs="Tahoma"/>
          <w:sz w:val="24"/>
          <w:szCs w:val="24"/>
        </w:rPr>
        <w:t>Infrastructure.</w:t>
      </w:r>
      <w:r w:rsidR="0092318C" w:rsidRPr="007C6984">
        <w:rPr>
          <w:rFonts w:ascii="Bookman Old Style" w:hAnsi="Bookman Old Style" w:cs="Tahoma"/>
          <w:sz w:val="24"/>
          <w:szCs w:val="24"/>
        </w:rPr>
        <w:t xml:space="preserve"> This event addresses a critical and contemporary policy issue shaping the global digital </w:t>
      </w:r>
      <w:r w:rsidRPr="007C6984">
        <w:rPr>
          <w:rFonts w:ascii="Bookman Old Style" w:hAnsi="Bookman Old Style" w:cs="Tahoma"/>
          <w:sz w:val="24"/>
          <w:szCs w:val="24"/>
        </w:rPr>
        <w:t>ecosystem. It</w:t>
      </w:r>
      <w:r w:rsidR="0092318C" w:rsidRPr="007C6984">
        <w:rPr>
          <w:rFonts w:ascii="Bookman Old Style" w:hAnsi="Bookman Old Style" w:cs="Tahoma"/>
          <w:sz w:val="24"/>
          <w:szCs w:val="24"/>
        </w:rPr>
        <w:t xml:space="preserve"> examines the strategic importance of subsea cable and cloud infrastructure as foundational digital </w:t>
      </w:r>
      <w:r w:rsidRPr="007C6984">
        <w:rPr>
          <w:rFonts w:ascii="Bookman Old Style" w:hAnsi="Bookman Old Style" w:cs="Tahoma"/>
          <w:sz w:val="24"/>
          <w:szCs w:val="24"/>
        </w:rPr>
        <w:t>assets. These</w:t>
      </w:r>
      <w:r w:rsidR="0092318C" w:rsidRPr="007C6984">
        <w:rPr>
          <w:rFonts w:ascii="Bookman Old Style" w:hAnsi="Bookman Old Style" w:cs="Tahoma"/>
          <w:sz w:val="24"/>
          <w:szCs w:val="24"/>
        </w:rPr>
        <w:t xml:space="preserve"> systems are central to national digital resilience, economic competitiveness, and secure </w:t>
      </w:r>
      <w:r w:rsidRPr="007C6984">
        <w:rPr>
          <w:rFonts w:ascii="Bookman Old Style" w:hAnsi="Bookman Old Style" w:cs="Tahoma"/>
          <w:sz w:val="24"/>
          <w:szCs w:val="24"/>
        </w:rPr>
        <w:t>connectivity. Their</w:t>
      </w:r>
      <w:r w:rsidR="0092318C" w:rsidRPr="007C6984">
        <w:rPr>
          <w:rFonts w:ascii="Bookman Old Style" w:hAnsi="Bookman Old Style" w:cs="Tahoma"/>
          <w:sz w:val="24"/>
          <w:szCs w:val="24"/>
        </w:rPr>
        <w:t xml:space="preserve"> governance and scaling have significant implications for global trade, security, and inclusive growth. </w:t>
      </w:r>
      <w:r w:rsidR="00B96A32" w:rsidRPr="007C6984">
        <w:rPr>
          <w:rFonts w:ascii="Bookman Old Style" w:hAnsi="Bookman Old Style" w:cs="Tahoma"/>
          <w:sz w:val="24"/>
          <w:szCs w:val="24"/>
        </w:rPr>
        <w:t xml:space="preserve">It </w:t>
      </w:r>
      <w:r w:rsidR="00D52B88" w:rsidRPr="007C6984">
        <w:rPr>
          <w:rFonts w:ascii="Bookman Old Style" w:hAnsi="Bookman Old Style" w:cs="Tahoma"/>
          <w:sz w:val="24"/>
          <w:szCs w:val="24"/>
        </w:rPr>
        <w:t xml:space="preserve">is </w:t>
      </w:r>
      <w:r w:rsidR="0092381C" w:rsidRPr="007C6984">
        <w:rPr>
          <w:rFonts w:ascii="Bookman Old Style" w:hAnsi="Bookman Old Style" w:cs="Tahoma"/>
          <w:sz w:val="24"/>
          <w:szCs w:val="24"/>
        </w:rPr>
        <w:t>my</w:t>
      </w:r>
      <w:r w:rsidR="00B96A32" w:rsidRPr="007C6984">
        <w:rPr>
          <w:rFonts w:ascii="Bookman Old Style" w:hAnsi="Bookman Old Style" w:cs="Tahoma"/>
          <w:sz w:val="24"/>
          <w:szCs w:val="24"/>
        </w:rPr>
        <w:t xml:space="preserve"> privilege </w:t>
      </w:r>
      <w:r w:rsidR="0092381C" w:rsidRPr="007C6984">
        <w:rPr>
          <w:rFonts w:ascii="Bookman Old Style" w:hAnsi="Bookman Old Style" w:cs="Tahoma"/>
          <w:sz w:val="24"/>
          <w:szCs w:val="24"/>
        </w:rPr>
        <w:t>to</w:t>
      </w:r>
      <w:r w:rsidR="00B96A32" w:rsidRPr="007C6984">
        <w:rPr>
          <w:rFonts w:ascii="Bookman Old Style" w:hAnsi="Bookman Old Style" w:cs="Tahoma"/>
          <w:sz w:val="24"/>
          <w:szCs w:val="24"/>
        </w:rPr>
        <w:t xml:space="preserve"> address this distinguished gathering </w:t>
      </w:r>
      <w:r w:rsidR="00C61D31" w:rsidRPr="007C6984">
        <w:rPr>
          <w:rFonts w:ascii="Bookman Old Style" w:hAnsi="Bookman Old Style" w:cs="Tahoma"/>
          <w:sz w:val="24"/>
          <w:szCs w:val="24"/>
        </w:rPr>
        <w:t>at a time when the global economy is undergoing a profound digital transformation.</w:t>
      </w:r>
    </w:p>
    <w:p w14:paraId="1E27322F" w14:textId="06B22EF0" w:rsidR="007C6984" w:rsidRPr="007C6984" w:rsidRDefault="00BF4FA4" w:rsidP="007C6984">
      <w:pPr>
        <w:pStyle w:val="NoSpacing"/>
        <w:numPr>
          <w:ilvl w:val="0"/>
          <w:numId w:val="31"/>
        </w:numPr>
        <w:spacing w:before="120" w:after="120" w:line="360" w:lineRule="auto"/>
        <w:ind w:left="0" w:hanging="540"/>
        <w:contextualSpacing/>
        <w:jc w:val="both"/>
        <w:rPr>
          <w:rFonts w:ascii="Bookman Old Style" w:hAnsi="Bookman Old Style" w:cs="Tahoma"/>
          <w:sz w:val="24"/>
          <w:szCs w:val="24"/>
        </w:rPr>
      </w:pPr>
      <w:r w:rsidRPr="007C6984">
        <w:rPr>
          <w:rFonts w:ascii="Bookman Old Style" w:hAnsi="Bookman Old Style" w:cs="Tahoma"/>
          <w:sz w:val="24"/>
          <w:szCs w:val="24"/>
        </w:rPr>
        <w:t xml:space="preserve">Today’s theme, 'Connecting Continents, Scaling Digital Clouds,' is about more than just IT infrastructure. It is about </w:t>
      </w:r>
      <w:r w:rsidR="005747F6" w:rsidRPr="007C6984">
        <w:rPr>
          <w:rFonts w:ascii="Bookman Old Style" w:hAnsi="Bookman Old Style" w:cs="Tahoma"/>
          <w:sz w:val="24"/>
          <w:szCs w:val="24"/>
        </w:rPr>
        <w:t>eliminating</w:t>
      </w:r>
      <w:r w:rsidRPr="007C6984">
        <w:rPr>
          <w:rFonts w:ascii="Bookman Old Style" w:hAnsi="Bookman Old Style" w:cs="Tahoma"/>
          <w:sz w:val="24"/>
          <w:szCs w:val="24"/>
        </w:rPr>
        <w:t xml:space="preserve"> distance.</w:t>
      </w:r>
      <w:r w:rsidR="0016229A" w:rsidRPr="007C6984">
        <w:rPr>
          <w:rFonts w:ascii="Bookman Old Style" w:hAnsi="Bookman Old Style" w:cs="Tahoma"/>
          <w:sz w:val="24"/>
          <w:szCs w:val="24"/>
        </w:rPr>
        <w:t xml:space="preserve"> </w:t>
      </w:r>
      <w:r w:rsidRPr="007C6984">
        <w:rPr>
          <w:rFonts w:ascii="Bookman Old Style" w:hAnsi="Bookman Old Style" w:cs="Tahoma"/>
          <w:sz w:val="24"/>
          <w:szCs w:val="24"/>
        </w:rPr>
        <w:t xml:space="preserve">The modern internet is underpinned by a rapidly evolving global connectivity fabric that increasingly mirrors the strategic importance once held by physical trade routes. Subsea and terrestrial </w:t>
      </w:r>
      <w:proofErr w:type="spellStart"/>
      <w:r w:rsidRPr="007C6984">
        <w:rPr>
          <w:rFonts w:ascii="Bookman Old Style" w:hAnsi="Bookman Old Style" w:cs="Tahoma"/>
          <w:sz w:val="24"/>
          <w:szCs w:val="24"/>
        </w:rPr>
        <w:t>fiber</w:t>
      </w:r>
      <w:proofErr w:type="spellEnd"/>
      <w:r w:rsidRPr="007C6984">
        <w:rPr>
          <w:rFonts w:ascii="Bookman Old Style" w:hAnsi="Bookman Old Style" w:cs="Tahoma"/>
          <w:sz w:val="24"/>
          <w:szCs w:val="24"/>
        </w:rPr>
        <w:t>-optic infrastructure forms the backbone of this digital ecosystem, with the recent surge in undersea cable deployments driven not only by demand for higher bandwidth but by the imperative for resilience.</w:t>
      </w:r>
    </w:p>
    <w:p w14:paraId="25907B72" w14:textId="1001EE3C" w:rsidR="007C6984" w:rsidRPr="007C6984" w:rsidRDefault="00B5482C" w:rsidP="007C6984">
      <w:pPr>
        <w:pStyle w:val="NoSpacing"/>
        <w:numPr>
          <w:ilvl w:val="0"/>
          <w:numId w:val="31"/>
        </w:numPr>
        <w:spacing w:before="120" w:after="120" w:line="360" w:lineRule="auto"/>
        <w:ind w:left="0" w:hanging="540"/>
        <w:contextualSpacing/>
        <w:jc w:val="both"/>
        <w:rPr>
          <w:rFonts w:ascii="Bookman Old Style" w:hAnsi="Bookman Old Style" w:cs="Tahoma"/>
          <w:sz w:val="24"/>
          <w:szCs w:val="24"/>
        </w:rPr>
      </w:pPr>
      <w:r w:rsidRPr="007C6984">
        <w:rPr>
          <w:rFonts w:ascii="Bookman Old Style" w:hAnsi="Bookman Old Style" w:cs="Tahoma"/>
          <w:sz w:val="24"/>
          <w:szCs w:val="24"/>
        </w:rPr>
        <w:t xml:space="preserve">India's telecom sector has witnessed remarkable growth over the past few decades, emerging as one of the largest and most dynamic markets in the world. India has </w:t>
      </w:r>
      <w:r w:rsidR="005747F6" w:rsidRPr="007C6984">
        <w:rPr>
          <w:rFonts w:ascii="Bookman Old Style" w:hAnsi="Bookman Old Style" w:cs="Tahoma"/>
          <w:sz w:val="24"/>
          <w:szCs w:val="24"/>
        </w:rPr>
        <w:t>achieved an overall tele-density of 87%, with urban areas at 135% and rural areas at</w:t>
      </w:r>
      <w:r w:rsidRPr="007C6984">
        <w:rPr>
          <w:rFonts w:ascii="Bookman Old Style" w:hAnsi="Bookman Old Style" w:cs="Tahoma"/>
          <w:sz w:val="24"/>
          <w:szCs w:val="24"/>
        </w:rPr>
        <w:t xml:space="preserve"> 59.5%. </w:t>
      </w:r>
      <w:r w:rsidR="00334C8A" w:rsidRPr="007C6984">
        <w:rPr>
          <w:rFonts w:ascii="Bookman Old Style" w:hAnsi="Bookman Old Style" w:cs="Tahoma"/>
          <w:sz w:val="24"/>
          <w:szCs w:val="24"/>
        </w:rPr>
        <w:t xml:space="preserve">In the last 10 years, the Broadband subscriber </w:t>
      </w:r>
      <w:r w:rsidR="00334C8A" w:rsidRPr="007C6984">
        <w:rPr>
          <w:rFonts w:ascii="Bookman Old Style" w:hAnsi="Bookman Old Style" w:cs="Tahoma"/>
          <w:sz w:val="24"/>
          <w:szCs w:val="24"/>
        </w:rPr>
        <w:lastRenderedPageBreak/>
        <w:t xml:space="preserve">base in India has increased by more than </w:t>
      </w:r>
      <w:r w:rsidR="006D7064">
        <w:rPr>
          <w:rFonts w:ascii="Bookman Old Style" w:hAnsi="Bookman Old Style" w:cs="Tahoma"/>
          <w:sz w:val="24"/>
          <w:szCs w:val="24"/>
        </w:rPr>
        <w:t>s</w:t>
      </w:r>
      <w:r w:rsidR="00E17E50">
        <w:rPr>
          <w:rFonts w:ascii="Bookman Old Style" w:hAnsi="Bookman Old Style" w:cs="Tahoma"/>
          <w:sz w:val="24"/>
          <w:szCs w:val="24"/>
        </w:rPr>
        <w:t>ix</w:t>
      </w:r>
      <w:r w:rsidR="00334C8A" w:rsidRPr="007C6984">
        <w:rPr>
          <w:rFonts w:ascii="Bookman Old Style" w:hAnsi="Bookman Old Style" w:cs="Tahoma"/>
          <w:sz w:val="24"/>
          <w:szCs w:val="24"/>
        </w:rPr>
        <w:t xml:space="preserve"> times. </w:t>
      </w:r>
      <w:r w:rsidR="005747F6" w:rsidRPr="007C6984">
        <w:rPr>
          <w:rFonts w:ascii="Bookman Old Style" w:hAnsi="Bookman Old Style" w:cs="Tahoma"/>
          <w:sz w:val="24"/>
          <w:szCs w:val="24"/>
        </w:rPr>
        <w:t xml:space="preserve">In this remarkable journey, India has </w:t>
      </w:r>
      <w:r w:rsidR="00083C46">
        <w:rPr>
          <w:rFonts w:ascii="Bookman Old Style" w:hAnsi="Bookman Old Style" w:cs="Tahoma"/>
          <w:sz w:val="24"/>
          <w:szCs w:val="24"/>
        </w:rPr>
        <w:t>surpassed the milestone of</w:t>
      </w:r>
      <w:r w:rsidR="00C02E22">
        <w:rPr>
          <w:rFonts w:ascii="Bookman Old Style" w:hAnsi="Bookman Old Style" w:cs="Tahoma"/>
          <w:sz w:val="24"/>
          <w:szCs w:val="24"/>
        </w:rPr>
        <w:t xml:space="preserve"> 1 billion</w:t>
      </w:r>
      <w:r w:rsidR="005747F6" w:rsidRPr="007C6984">
        <w:rPr>
          <w:rFonts w:ascii="Bookman Old Style" w:hAnsi="Bookman Old Style" w:cs="Tahoma"/>
          <w:sz w:val="24"/>
          <w:szCs w:val="24"/>
        </w:rPr>
        <w:t xml:space="preserve"> </w:t>
      </w:r>
      <w:r w:rsidRPr="007C6984">
        <w:rPr>
          <w:rFonts w:ascii="Bookman Old Style" w:hAnsi="Bookman Old Style" w:cs="Tahoma"/>
          <w:sz w:val="24"/>
          <w:szCs w:val="24"/>
        </w:rPr>
        <w:t xml:space="preserve">broadband users </w:t>
      </w:r>
      <w:r w:rsidR="005747F6" w:rsidRPr="007C6984">
        <w:rPr>
          <w:rFonts w:ascii="Bookman Old Style" w:hAnsi="Bookman Old Style" w:cs="Tahoma"/>
          <w:sz w:val="24"/>
          <w:szCs w:val="24"/>
        </w:rPr>
        <w:t>in November 2025</w:t>
      </w:r>
      <w:r w:rsidRPr="007C6984">
        <w:rPr>
          <w:rFonts w:ascii="Bookman Old Style" w:hAnsi="Bookman Old Style" w:cs="Tahoma"/>
          <w:sz w:val="24"/>
          <w:szCs w:val="24"/>
        </w:rPr>
        <w:t xml:space="preserve">. </w:t>
      </w:r>
    </w:p>
    <w:p w14:paraId="5AAB8EBC" w14:textId="62FF2C28" w:rsidR="007C6984" w:rsidRPr="007C6984" w:rsidRDefault="00C02CDC" w:rsidP="007C6984">
      <w:pPr>
        <w:pStyle w:val="NoSpacing"/>
        <w:numPr>
          <w:ilvl w:val="0"/>
          <w:numId w:val="31"/>
        </w:numPr>
        <w:spacing w:before="120" w:after="120" w:line="360" w:lineRule="auto"/>
        <w:ind w:left="0" w:hanging="540"/>
        <w:contextualSpacing/>
        <w:jc w:val="both"/>
        <w:rPr>
          <w:rFonts w:ascii="Bookman Old Style" w:hAnsi="Bookman Old Style" w:cs="Tahoma"/>
          <w:sz w:val="24"/>
          <w:szCs w:val="24"/>
        </w:rPr>
      </w:pPr>
      <w:r w:rsidRPr="00C02CDC">
        <w:rPr>
          <w:rFonts w:ascii="Bookman Old Style" w:hAnsi="Bookman Old Style" w:cs="Tahoma"/>
          <w:sz w:val="24"/>
          <w:szCs w:val="24"/>
        </w:rPr>
        <w:t xml:space="preserve">Despite significant progress in satellite communications, </w:t>
      </w:r>
      <w:r w:rsidR="00F5057B">
        <w:rPr>
          <w:rFonts w:ascii="Bookman Old Style" w:hAnsi="Bookman Old Style" w:cs="Tahoma"/>
          <w:sz w:val="24"/>
          <w:szCs w:val="24"/>
        </w:rPr>
        <w:t xml:space="preserve">the </w:t>
      </w:r>
      <w:r w:rsidRPr="00C02CDC">
        <w:rPr>
          <w:rFonts w:ascii="Bookman Old Style" w:hAnsi="Bookman Old Style" w:cs="Tahoma"/>
          <w:sz w:val="24"/>
          <w:szCs w:val="24"/>
        </w:rPr>
        <w:t>subsea cables continue to carry an overwhelming majority—around 95% to 99%—of global intercontinental data traffic</w:t>
      </w:r>
      <w:r w:rsidR="00CF77ED">
        <w:rPr>
          <w:rFonts w:ascii="Bookman Old Style" w:hAnsi="Bookman Old Style" w:cs="Tahoma"/>
          <w:sz w:val="24"/>
          <w:szCs w:val="24"/>
        </w:rPr>
        <w:t xml:space="preserve"> and </w:t>
      </w:r>
      <w:r w:rsidRPr="00C02CDC">
        <w:rPr>
          <w:rFonts w:ascii="Bookman Old Style" w:hAnsi="Bookman Old Style" w:cs="Tahoma"/>
          <w:sz w:val="24"/>
          <w:szCs w:val="24"/>
        </w:rPr>
        <w:t>remain the primary and indispensable backbone of the global internet.</w:t>
      </w:r>
    </w:p>
    <w:p w14:paraId="7C47933B" w14:textId="77777777" w:rsidR="007C6984" w:rsidRPr="007C6984" w:rsidRDefault="00FB0E6E" w:rsidP="007C6984">
      <w:pPr>
        <w:pStyle w:val="NoSpacing"/>
        <w:numPr>
          <w:ilvl w:val="0"/>
          <w:numId w:val="31"/>
        </w:numPr>
        <w:spacing w:before="120" w:after="120" w:line="360" w:lineRule="auto"/>
        <w:ind w:left="0" w:hanging="540"/>
        <w:contextualSpacing/>
        <w:jc w:val="both"/>
        <w:rPr>
          <w:rFonts w:ascii="Bookman Old Style" w:hAnsi="Bookman Old Style" w:cs="Tahoma"/>
          <w:sz w:val="24"/>
          <w:szCs w:val="24"/>
        </w:rPr>
      </w:pPr>
      <w:r w:rsidRPr="007C6984">
        <w:rPr>
          <w:rFonts w:ascii="Bookman Old Style" w:hAnsi="Bookman Old Style" w:cs="Tahoma"/>
          <w:sz w:val="24"/>
          <w:szCs w:val="24"/>
        </w:rPr>
        <w:t xml:space="preserve">As per </w:t>
      </w:r>
      <w:r w:rsidR="00580F4A" w:rsidRPr="007C6984">
        <w:rPr>
          <w:rFonts w:ascii="Bookman Old Style" w:hAnsi="Bookman Old Style" w:cs="Tahoma"/>
          <w:sz w:val="24"/>
          <w:szCs w:val="24"/>
        </w:rPr>
        <w:t xml:space="preserve">a market research </w:t>
      </w:r>
      <w:r w:rsidRPr="007C6984">
        <w:rPr>
          <w:rFonts w:ascii="Bookman Old Style" w:hAnsi="Bookman Old Style" w:cs="Tahoma"/>
          <w:sz w:val="24"/>
          <w:szCs w:val="24"/>
        </w:rPr>
        <w:t>report</w:t>
      </w:r>
      <w:r w:rsidR="00580F4A" w:rsidRPr="007C6984">
        <w:rPr>
          <w:rStyle w:val="FootnoteReference"/>
          <w:rFonts w:ascii="Bookman Old Style" w:hAnsi="Bookman Old Style" w:cs="Tahoma"/>
          <w:sz w:val="24"/>
          <w:szCs w:val="24"/>
        </w:rPr>
        <w:footnoteReference w:id="1"/>
      </w:r>
      <w:r w:rsidRPr="007C6984">
        <w:rPr>
          <w:rFonts w:ascii="Bookman Old Style" w:hAnsi="Bookman Old Style" w:cs="Tahoma"/>
          <w:sz w:val="24"/>
          <w:szCs w:val="24"/>
        </w:rPr>
        <w:t>,</w:t>
      </w:r>
      <w:r w:rsidR="00CD0ECF" w:rsidRPr="007C6984">
        <w:rPr>
          <w:rFonts w:ascii="Bookman Old Style" w:hAnsi="Bookman Old Style" w:cs="Tahoma"/>
          <w:sz w:val="24"/>
          <w:szCs w:val="24"/>
        </w:rPr>
        <w:t xml:space="preserve"> the </w:t>
      </w:r>
      <w:r w:rsidR="00A4335E" w:rsidRPr="007C6984">
        <w:rPr>
          <w:rFonts w:ascii="Bookman Old Style" w:hAnsi="Bookman Old Style" w:cs="Tahoma"/>
          <w:sz w:val="24"/>
          <w:szCs w:val="24"/>
        </w:rPr>
        <w:t>G</w:t>
      </w:r>
      <w:r w:rsidRPr="007C6984">
        <w:rPr>
          <w:rFonts w:ascii="Bookman Old Style" w:hAnsi="Bookman Old Style" w:cs="Tahoma"/>
          <w:sz w:val="24"/>
          <w:szCs w:val="24"/>
        </w:rPr>
        <w:t xml:space="preserve">lobal Submarine communication cables industry stood at USD 30.9 billion in 2025 and </w:t>
      </w:r>
      <w:r w:rsidR="00A4335E" w:rsidRPr="007C6984">
        <w:rPr>
          <w:rFonts w:ascii="Bookman Old Style" w:hAnsi="Bookman Old Style" w:cs="Tahoma"/>
          <w:sz w:val="24"/>
          <w:szCs w:val="24"/>
        </w:rPr>
        <w:t>is</w:t>
      </w:r>
      <w:r w:rsidRPr="007C6984">
        <w:rPr>
          <w:rFonts w:ascii="Bookman Old Style" w:hAnsi="Bookman Old Style" w:cs="Tahoma"/>
          <w:sz w:val="24"/>
          <w:szCs w:val="24"/>
        </w:rPr>
        <w:t xml:space="preserve"> projected to reach a value of USD 56.9 billion by 2035. The industry is anticipated to exhibit a year-on-year growth of 6.3% </w:t>
      </w:r>
      <w:r w:rsidR="003F3F6C" w:rsidRPr="007C6984">
        <w:rPr>
          <w:rFonts w:ascii="Bookman Old Style" w:hAnsi="Bookman Old Style" w:cs="Tahoma"/>
          <w:sz w:val="24"/>
          <w:szCs w:val="24"/>
        </w:rPr>
        <w:t>during this period</w:t>
      </w:r>
      <w:r w:rsidRPr="007C6984">
        <w:rPr>
          <w:rFonts w:ascii="Bookman Old Style" w:hAnsi="Bookman Old Style" w:cs="Tahoma"/>
          <w:sz w:val="24"/>
          <w:szCs w:val="24"/>
        </w:rPr>
        <w:t>.</w:t>
      </w:r>
    </w:p>
    <w:p w14:paraId="63D0967D" w14:textId="77777777" w:rsidR="007C6984" w:rsidRPr="007C6984" w:rsidRDefault="00FB0E6E" w:rsidP="007C6984">
      <w:pPr>
        <w:pStyle w:val="NoSpacing"/>
        <w:numPr>
          <w:ilvl w:val="0"/>
          <w:numId w:val="31"/>
        </w:numPr>
        <w:spacing w:before="120" w:after="120" w:line="360" w:lineRule="auto"/>
        <w:ind w:left="0" w:hanging="540"/>
        <w:contextualSpacing/>
        <w:jc w:val="both"/>
        <w:rPr>
          <w:rFonts w:ascii="Bookman Old Style" w:hAnsi="Bookman Old Style" w:cs="Tahoma"/>
          <w:sz w:val="24"/>
          <w:szCs w:val="24"/>
        </w:rPr>
      </w:pPr>
      <w:r w:rsidRPr="007C6984">
        <w:rPr>
          <w:rFonts w:ascii="Bookman Old Style" w:hAnsi="Bookman Old Style" w:cs="Tahoma"/>
          <w:sz w:val="24"/>
          <w:szCs w:val="24"/>
        </w:rPr>
        <w:t>India is projected to experience the fastest growth in the submarine cable market, with a CAGR of 7.2% between 2025 and 2035, driven by digital expansion, rising internet penetration, and the government's Digital India initiative.</w:t>
      </w:r>
    </w:p>
    <w:p w14:paraId="1FEE3B4A" w14:textId="022D1AEA" w:rsidR="007C6984" w:rsidRPr="007C6984" w:rsidRDefault="00DD60B8" w:rsidP="007C6984">
      <w:pPr>
        <w:pStyle w:val="NoSpacing"/>
        <w:numPr>
          <w:ilvl w:val="0"/>
          <w:numId w:val="31"/>
        </w:numPr>
        <w:spacing w:before="120" w:after="120" w:line="360" w:lineRule="auto"/>
        <w:ind w:left="0" w:hanging="540"/>
        <w:contextualSpacing/>
        <w:jc w:val="both"/>
        <w:rPr>
          <w:rFonts w:ascii="Bookman Old Style" w:hAnsi="Bookman Old Style" w:cs="Tahoma"/>
          <w:sz w:val="24"/>
          <w:szCs w:val="24"/>
        </w:rPr>
      </w:pPr>
      <w:r w:rsidRPr="007C6984">
        <w:rPr>
          <w:rFonts w:ascii="Bookman Old Style" w:hAnsi="Bookman Old Style" w:cs="Tahoma"/>
          <w:sz w:val="24"/>
          <w:szCs w:val="24"/>
        </w:rPr>
        <w:t xml:space="preserve">TRAI has long recognized the critical role of submarine cable systems in strengthening India’s digital infrastructure. </w:t>
      </w:r>
      <w:r w:rsidR="001C75A4" w:rsidRPr="007C6984">
        <w:rPr>
          <w:rFonts w:ascii="Bookman Old Style" w:hAnsi="Bookman Old Style" w:cs="Tahoma"/>
          <w:sz w:val="24"/>
          <w:szCs w:val="24"/>
        </w:rPr>
        <w:t xml:space="preserve">In June 2023, TRAI released comprehensive recommendations on the ‘Licensing Framework and Regulatory Mechanism for Submarine Cable Landing in India’. TRAI’s recommendations </w:t>
      </w:r>
      <w:r w:rsidR="002B107F" w:rsidRPr="007C6984">
        <w:rPr>
          <w:rFonts w:ascii="Bookman Old Style" w:hAnsi="Bookman Old Style" w:cs="Tahoma"/>
          <w:sz w:val="24"/>
          <w:szCs w:val="24"/>
        </w:rPr>
        <w:t xml:space="preserve">aim to streamline licensing and regulatory processes and </w:t>
      </w:r>
      <w:r w:rsidR="00036717">
        <w:rPr>
          <w:rFonts w:ascii="Bookman Old Style" w:hAnsi="Bookman Old Style" w:cs="Tahoma"/>
          <w:sz w:val="24"/>
          <w:szCs w:val="24"/>
        </w:rPr>
        <w:t>create</w:t>
      </w:r>
      <w:r w:rsidR="002B107F" w:rsidRPr="007C6984">
        <w:rPr>
          <w:rFonts w:ascii="Bookman Old Style" w:hAnsi="Bookman Old Style" w:cs="Tahoma"/>
          <w:sz w:val="24"/>
          <w:szCs w:val="24"/>
        </w:rPr>
        <w:t xml:space="preserve"> an environment </w:t>
      </w:r>
      <w:r w:rsidR="001C75A4" w:rsidRPr="007C6984">
        <w:rPr>
          <w:rFonts w:ascii="Bookman Old Style" w:hAnsi="Bookman Old Style" w:cs="Tahoma"/>
          <w:sz w:val="24"/>
          <w:szCs w:val="24"/>
        </w:rPr>
        <w:t>conducive to investment, innovation, and operational efficiency.</w:t>
      </w:r>
    </w:p>
    <w:p w14:paraId="02E270A4" w14:textId="77777777" w:rsidR="007C6984" w:rsidRPr="007C6984" w:rsidRDefault="00606AE7" w:rsidP="007C6984">
      <w:pPr>
        <w:pStyle w:val="NoSpacing"/>
        <w:numPr>
          <w:ilvl w:val="0"/>
          <w:numId w:val="31"/>
        </w:numPr>
        <w:spacing w:before="120" w:after="120" w:line="360" w:lineRule="auto"/>
        <w:ind w:left="0" w:hanging="540"/>
        <w:contextualSpacing/>
        <w:jc w:val="both"/>
        <w:rPr>
          <w:rFonts w:ascii="Bookman Old Style" w:hAnsi="Bookman Old Style" w:cs="Tahoma"/>
          <w:sz w:val="24"/>
          <w:szCs w:val="24"/>
        </w:rPr>
      </w:pPr>
      <w:r w:rsidRPr="007C6984">
        <w:rPr>
          <w:rFonts w:ascii="Bookman Old Style" w:hAnsi="Bookman Old Style" w:cs="Tahoma"/>
          <w:sz w:val="24"/>
          <w:szCs w:val="24"/>
        </w:rPr>
        <w:t xml:space="preserve">The key measures include categorizing Cable Landing Stations (CLS) into </w:t>
      </w:r>
      <w:r w:rsidR="009336B4" w:rsidRPr="007C6984">
        <w:rPr>
          <w:rFonts w:ascii="Bookman Old Style" w:hAnsi="Bookman Old Style" w:cs="Tahoma"/>
          <w:sz w:val="24"/>
          <w:szCs w:val="24"/>
        </w:rPr>
        <w:t>‘</w:t>
      </w:r>
      <w:r w:rsidRPr="007C6984">
        <w:rPr>
          <w:rFonts w:ascii="Bookman Old Style" w:hAnsi="Bookman Old Style" w:cs="Tahoma"/>
          <w:sz w:val="24"/>
          <w:szCs w:val="24"/>
        </w:rPr>
        <w:t>Main CLS</w:t>
      </w:r>
      <w:r w:rsidR="009336B4" w:rsidRPr="007C6984">
        <w:rPr>
          <w:rFonts w:ascii="Bookman Old Style" w:hAnsi="Bookman Old Style" w:cs="Tahoma"/>
          <w:sz w:val="24"/>
          <w:szCs w:val="24"/>
        </w:rPr>
        <w:t>’</w:t>
      </w:r>
      <w:r w:rsidRPr="007C6984">
        <w:rPr>
          <w:rFonts w:ascii="Bookman Old Style" w:hAnsi="Bookman Old Style" w:cs="Tahoma"/>
          <w:sz w:val="24"/>
          <w:szCs w:val="24"/>
        </w:rPr>
        <w:t xml:space="preserve"> and </w:t>
      </w:r>
      <w:r w:rsidR="009336B4" w:rsidRPr="007C6984">
        <w:rPr>
          <w:rFonts w:ascii="Bookman Old Style" w:hAnsi="Bookman Old Style" w:cs="Tahoma"/>
          <w:sz w:val="24"/>
          <w:szCs w:val="24"/>
        </w:rPr>
        <w:t>‘</w:t>
      </w:r>
      <w:r w:rsidRPr="007C6984">
        <w:rPr>
          <w:rFonts w:ascii="Bookman Old Style" w:hAnsi="Bookman Old Style" w:cs="Tahoma"/>
          <w:sz w:val="24"/>
          <w:szCs w:val="24"/>
        </w:rPr>
        <w:t>CLS Points of Presence</w:t>
      </w:r>
      <w:r w:rsidR="009336B4" w:rsidRPr="007C6984">
        <w:rPr>
          <w:rFonts w:ascii="Bookman Old Style" w:hAnsi="Bookman Old Style" w:cs="Tahoma"/>
          <w:sz w:val="24"/>
          <w:szCs w:val="24"/>
        </w:rPr>
        <w:t xml:space="preserve"> (</w:t>
      </w:r>
      <w:proofErr w:type="spellStart"/>
      <w:r w:rsidR="009336B4" w:rsidRPr="007C6984">
        <w:rPr>
          <w:rFonts w:ascii="Bookman Old Style" w:hAnsi="Bookman Old Style" w:cs="Tahoma"/>
          <w:sz w:val="24"/>
          <w:szCs w:val="24"/>
        </w:rPr>
        <w:t>PoP</w:t>
      </w:r>
      <w:proofErr w:type="spellEnd"/>
      <w:r w:rsidR="009336B4" w:rsidRPr="007C6984">
        <w:rPr>
          <w:rFonts w:ascii="Bookman Old Style" w:hAnsi="Bookman Old Style" w:cs="Tahoma"/>
          <w:sz w:val="24"/>
          <w:szCs w:val="24"/>
        </w:rPr>
        <w:t>)’</w:t>
      </w:r>
      <w:r w:rsidRPr="007C6984">
        <w:rPr>
          <w:rFonts w:ascii="Bookman Old Style" w:hAnsi="Bookman Old Style" w:cs="Tahoma"/>
          <w:sz w:val="24"/>
          <w:szCs w:val="24"/>
        </w:rPr>
        <w:t xml:space="preserve"> to streamline permissions; allowing ILD and ISP Category ‘A’ licensees to extend dark fibre </w:t>
      </w:r>
      <w:r w:rsidR="009336B4" w:rsidRPr="007C6984">
        <w:rPr>
          <w:rFonts w:ascii="Bookman Old Style" w:hAnsi="Bookman Old Style" w:cs="Tahoma"/>
          <w:sz w:val="24"/>
          <w:szCs w:val="24"/>
        </w:rPr>
        <w:t>from Main CLS to CLS-</w:t>
      </w:r>
      <w:proofErr w:type="spellStart"/>
      <w:r w:rsidR="009336B4" w:rsidRPr="007C6984">
        <w:rPr>
          <w:rFonts w:ascii="Bookman Old Style" w:hAnsi="Bookman Old Style" w:cs="Tahoma"/>
          <w:sz w:val="24"/>
          <w:szCs w:val="24"/>
        </w:rPr>
        <w:t>PoPs</w:t>
      </w:r>
      <w:proofErr w:type="spellEnd"/>
      <w:r w:rsidRPr="007C6984">
        <w:rPr>
          <w:rFonts w:ascii="Bookman Old Style" w:hAnsi="Bookman Old Style" w:cs="Tahoma"/>
          <w:sz w:val="24"/>
          <w:szCs w:val="24"/>
        </w:rPr>
        <w:t>; improving infrastructure readiness through coastal cable depots and incentives for Indian-flagged repair vessels; permitting domestic submarine cables under NLD licenses with safeguards for non-discriminatory access and traffic separation; designating CLS operations as Essential Services and Critical Information Infrastructure; and simplifying regulatory processes through online clearances, tax exemptions, and waiver of Right of Way charges.</w:t>
      </w:r>
    </w:p>
    <w:p w14:paraId="567CB75F" w14:textId="77777777" w:rsidR="007C6984" w:rsidRPr="007C6984" w:rsidRDefault="001C5916" w:rsidP="007C6984">
      <w:pPr>
        <w:pStyle w:val="NoSpacing"/>
        <w:numPr>
          <w:ilvl w:val="0"/>
          <w:numId w:val="31"/>
        </w:numPr>
        <w:spacing w:before="120" w:after="120" w:line="360" w:lineRule="auto"/>
        <w:ind w:left="0" w:hanging="540"/>
        <w:contextualSpacing/>
        <w:jc w:val="both"/>
        <w:rPr>
          <w:rFonts w:ascii="Bookman Old Style" w:hAnsi="Bookman Old Style" w:cs="Tahoma"/>
          <w:sz w:val="24"/>
          <w:szCs w:val="24"/>
        </w:rPr>
      </w:pPr>
      <w:r w:rsidRPr="007C6984">
        <w:rPr>
          <w:rFonts w:ascii="Bookman Old Style" w:hAnsi="Bookman Old Style" w:cs="Tahoma"/>
          <w:sz w:val="24"/>
          <w:szCs w:val="24"/>
        </w:rPr>
        <w:lastRenderedPageBreak/>
        <w:t>India plays a key role in the global submarine cable network. As of the end of 2024, India hosts around 17 international subsea cables across 21 distinct landing stations. Recently, MIST (</w:t>
      </w:r>
      <w:r w:rsidRPr="007C6984">
        <w:rPr>
          <w:rFonts w:ascii="Bookman Old Style" w:hAnsi="Bookman Old Style" w:cs="Tahoma"/>
          <w:i/>
          <w:iCs/>
          <w:sz w:val="24"/>
          <w:szCs w:val="24"/>
        </w:rPr>
        <w:t>Myanmar/Malaysia India Singapore Transit</w:t>
      </w:r>
      <w:r w:rsidRPr="007C6984">
        <w:rPr>
          <w:rFonts w:ascii="Bookman Old Style" w:hAnsi="Bookman Old Style" w:cs="Tahoma"/>
          <w:sz w:val="24"/>
          <w:szCs w:val="24"/>
        </w:rPr>
        <w:t>) submarine cables ha</w:t>
      </w:r>
      <w:r w:rsidR="00C74390" w:rsidRPr="007C6984">
        <w:rPr>
          <w:rFonts w:ascii="Bookman Old Style" w:hAnsi="Bookman Old Style" w:cs="Tahoma"/>
          <w:sz w:val="24"/>
          <w:szCs w:val="24"/>
        </w:rPr>
        <w:t>ve</w:t>
      </w:r>
      <w:r w:rsidRPr="007C6984">
        <w:rPr>
          <w:rFonts w:ascii="Bookman Old Style" w:hAnsi="Bookman Old Style" w:cs="Tahoma"/>
          <w:sz w:val="24"/>
          <w:szCs w:val="24"/>
        </w:rPr>
        <w:t xml:space="preserve"> successfully landed in Mumbai and Chennai.  In</w:t>
      </w:r>
      <w:r w:rsidR="00C74390" w:rsidRPr="007C6984">
        <w:rPr>
          <w:rFonts w:ascii="Bookman Old Style" w:hAnsi="Bookman Old Style" w:cs="Tahoma"/>
          <w:sz w:val="24"/>
          <w:szCs w:val="24"/>
        </w:rPr>
        <w:t xml:space="preserve"> </w:t>
      </w:r>
      <w:r w:rsidRPr="007C6984">
        <w:rPr>
          <w:rFonts w:ascii="Bookman Old Style" w:hAnsi="Bookman Old Style" w:cs="Tahoma"/>
          <w:sz w:val="24"/>
          <w:szCs w:val="24"/>
        </w:rPr>
        <w:t xml:space="preserve">December 2024, the total Lit capacity and Activated capacity of these cables stood at 192.857 </w:t>
      </w:r>
      <w:proofErr w:type="spellStart"/>
      <w:r w:rsidRPr="007C6984">
        <w:rPr>
          <w:rFonts w:ascii="Bookman Old Style" w:hAnsi="Bookman Old Style" w:cs="Tahoma"/>
          <w:sz w:val="24"/>
          <w:szCs w:val="24"/>
        </w:rPr>
        <w:t>Tbps</w:t>
      </w:r>
      <w:proofErr w:type="spellEnd"/>
      <w:r w:rsidRPr="007C6984">
        <w:rPr>
          <w:rFonts w:ascii="Bookman Old Style" w:hAnsi="Bookman Old Style" w:cs="Tahoma"/>
          <w:sz w:val="24"/>
          <w:szCs w:val="24"/>
        </w:rPr>
        <w:t xml:space="preserve"> and 147.538 </w:t>
      </w:r>
      <w:proofErr w:type="spellStart"/>
      <w:r w:rsidRPr="007C6984">
        <w:rPr>
          <w:rFonts w:ascii="Bookman Old Style" w:hAnsi="Bookman Old Style" w:cs="Tahoma"/>
          <w:sz w:val="24"/>
          <w:szCs w:val="24"/>
        </w:rPr>
        <w:t>Tbps</w:t>
      </w:r>
      <w:proofErr w:type="spellEnd"/>
      <w:r w:rsidRPr="007C6984">
        <w:rPr>
          <w:rFonts w:ascii="Bookman Old Style" w:hAnsi="Bookman Old Style" w:cs="Tahoma"/>
          <w:sz w:val="24"/>
          <w:szCs w:val="24"/>
        </w:rPr>
        <w:t xml:space="preserve">, respectively. </w:t>
      </w:r>
      <w:r w:rsidR="001E0A04" w:rsidRPr="007C6984">
        <w:rPr>
          <w:rFonts w:ascii="Bookman Old Style" w:hAnsi="Bookman Old Style" w:cs="Tahoma"/>
          <w:sz w:val="24"/>
          <w:szCs w:val="24"/>
        </w:rPr>
        <w:t>Several next-generation submarine cable systems</w:t>
      </w:r>
      <w:r w:rsidR="00A54FCE" w:rsidRPr="007C6984">
        <w:rPr>
          <w:rFonts w:ascii="Bookman Old Style" w:hAnsi="Bookman Old Style" w:cs="Tahoma"/>
          <w:sz w:val="24"/>
          <w:szCs w:val="24"/>
        </w:rPr>
        <w:t xml:space="preserve">, </w:t>
      </w:r>
      <w:r w:rsidR="001E0A04" w:rsidRPr="007C6984">
        <w:rPr>
          <w:rFonts w:ascii="Bookman Old Style" w:hAnsi="Bookman Old Style" w:cs="Tahoma"/>
          <w:sz w:val="24"/>
          <w:szCs w:val="24"/>
        </w:rPr>
        <w:t>such as</w:t>
      </w:r>
      <w:r w:rsidR="00A54FCE" w:rsidRPr="007C6984">
        <w:rPr>
          <w:rFonts w:ascii="Bookman Old Style" w:hAnsi="Bookman Old Style" w:cs="Tahoma"/>
          <w:sz w:val="24"/>
          <w:szCs w:val="24"/>
        </w:rPr>
        <w:t xml:space="preserve"> </w:t>
      </w:r>
      <w:r w:rsidR="001E0A04" w:rsidRPr="007C6984">
        <w:rPr>
          <w:rFonts w:ascii="Bookman Old Style" w:hAnsi="Bookman Old Style" w:cs="Tahoma"/>
          <w:i/>
          <w:iCs/>
          <w:sz w:val="24"/>
          <w:szCs w:val="24"/>
        </w:rPr>
        <w:t>IAX</w:t>
      </w:r>
      <w:r w:rsidR="004C097D" w:rsidRPr="007C6984">
        <w:rPr>
          <w:rFonts w:ascii="Bookman Old Style" w:hAnsi="Bookman Old Style" w:cs="Tahoma"/>
          <w:i/>
          <w:iCs/>
          <w:sz w:val="24"/>
          <w:szCs w:val="24"/>
        </w:rPr>
        <w:t xml:space="preserve"> (India Asia Express)</w:t>
      </w:r>
      <w:r w:rsidR="001E0A04" w:rsidRPr="007C6984">
        <w:rPr>
          <w:rFonts w:ascii="Bookman Old Style" w:hAnsi="Bookman Old Style" w:cs="Tahoma"/>
          <w:i/>
          <w:iCs/>
          <w:sz w:val="24"/>
          <w:szCs w:val="24"/>
        </w:rPr>
        <w:t>, IEX</w:t>
      </w:r>
      <w:r w:rsidR="004C097D" w:rsidRPr="007C6984">
        <w:rPr>
          <w:rFonts w:ascii="Bookman Old Style" w:hAnsi="Bookman Old Style" w:cs="Tahoma"/>
          <w:i/>
          <w:iCs/>
          <w:sz w:val="24"/>
          <w:szCs w:val="24"/>
        </w:rPr>
        <w:t xml:space="preserve"> (India Europe Express)</w:t>
      </w:r>
      <w:r w:rsidR="001E0A04" w:rsidRPr="007C6984">
        <w:rPr>
          <w:rFonts w:ascii="Bookman Old Style" w:hAnsi="Bookman Old Style" w:cs="Tahoma"/>
          <w:sz w:val="24"/>
          <w:szCs w:val="24"/>
        </w:rPr>
        <w:t xml:space="preserve">, and </w:t>
      </w:r>
      <w:r w:rsidR="001E0A04" w:rsidRPr="007C6984">
        <w:rPr>
          <w:rFonts w:ascii="Bookman Old Style" w:hAnsi="Bookman Old Style" w:cs="Tahoma"/>
          <w:i/>
          <w:iCs/>
          <w:sz w:val="24"/>
          <w:szCs w:val="24"/>
        </w:rPr>
        <w:t>Blue Raman</w:t>
      </w:r>
      <w:r w:rsidR="00A54FCE" w:rsidRPr="007C6984">
        <w:rPr>
          <w:rFonts w:ascii="Bookman Old Style" w:hAnsi="Bookman Old Style" w:cs="Tahoma"/>
          <w:sz w:val="24"/>
          <w:szCs w:val="24"/>
        </w:rPr>
        <w:t xml:space="preserve">, </w:t>
      </w:r>
      <w:r w:rsidR="001E0A04" w:rsidRPr="007C6984">
        <w:rPr>
          <w:rFonts w:ascii="Bookman Old Style" w:hAnsi="Bookman Old Style" w:cs="Tahoma"/>
          <w:sz w:val="24"/>
          <w:szCs w:val="24"/>
        </w:rPr>
        <w:t>are set to become fully operational, positioning India’s digital economy to exceed USD 1 trillion in the coming years.</w:t>
      </w:r>
    </w:p>
    <w:p w14:paraId="4FDA2963" w14:textId="77777777" w:rsidR="007C6984" w:rsidRPr="007C6984" w:rsidRDefault="00D530D9" w:rsidP="007C6984">
      <w:pPr>
        <w:pStyle w:val="NoSpacing"/>
        <w:numPr>
          <w:ilvl w:val="0"/>
          <w:numId w:val="31"/>
        </w:numPr>
        <w:spacing w:before="120" w:after="120" w:line="360" w:lineRule="auto"/>
        <w:ind w:left="0" w:hanging="540"/>
        <w:contextualSpacing/>
        <w:jc w:val="both"/>
        <w:rPr>
          <w:rFonts w:ascii="Bookman Old Style" w:hAnsi="Bookman Old Style" w:cs="Tahoma"/>
          <w:sz w:val="24"/>
          <w:szCs w:val="24"/>
        </w:rPr>
      </w:pPr>
      <w:r w:rsidRPr="007C6984">
        <w:rPr>
          <w:rFonts w:ascii="Bookman Old Style" w:hAnsi="Bookman Old Style" w:cs="Tahoma"/>
          <w:sz w:val="24"/>
          <w:szCs w:val="24"/>
        </w:rPr>
        <w:t>While subsea cables connect continents</w:t>
      </w:r>
      <w:r w:rsidR="002B107F" w:rsidRPr="007C6984">
        <w:rPr>
          <w:rFonts w:ascii="Bookman Old Style" w:hAnsi="Bookman Old Style" w:cs="Tahoma"/>
          <w:sz w:val="24"/>
          <w:szCs w:val="24"/>
        </w:rPr>
        <w:t xml:space="preserve"> and cloud infrastructure</w:t>
      </w:r>
      <w:r w:rsidRPr="007C6984">
        <w:rPr>
          <w:rFonts w:ascii="Bookman Old Style" w:hAnsi="Bookman Old Style" w:cs="Tahoma"/>
          <w:sz w:val="24"/>
          <w:szCs w:val="24"/>
        </w:rPr>
        <w:t xml:space="preserve">, </w:t>
      </w:r>
      <w:r w:rsidR="002B107F" w:rsidRPr="007C6984">
        <w:rPr>
          <w:rFonts w:ascii="Bookman Old Style" w:hAnsi="Bookman Old Style" w:cs="Tahoma"/>
          <w:sz w:val="24"/>
          <w:szCs w:val="24"/>
        </w:rPr>
        <w:t xml:space="preserve">the </w:t>
      </w:r>
      <w:r w:rsidRPr="007C6984">
        <w:rPr>
          <w:rFonts w:ascii="Bookman Old Style" w:hAnsi="Bookman Old Style" w:cs="Tahoma"/>
          <w:sz w:val="24"/>
          <w:szCs w:val="24"/>
        </w:rPr>
        <w:t xml:space="preserve">cloud infrastructure connects data to users, applications, and services in real time. Cloud services and digital platforms, whether hosted in public clouds, private data centres, or hybrid environments, have become the backbone of modern digital life. </w:t>
      </w:r>
      <w:r w:rsidR="000D0391" w:rsidRPr="007C6984">
        <w:rPr>
          <w:rFonts w:ascii="Bookman Old Style" w:hAnsi="Bookman Old Style" w:cs="Tahoma"/>
          <w:sz w:val="24"/>
          <w:szCs w:val="24"/>
        </w:rPr>
        <w:t xml:space="preserve">In the old world, if you wanted to expand your business to a new continent, you needed years of planning, physical offices, and local hardware. Today, you need a </w:t>
      </w:r>
      <w:r w:rsidR="00D77FC1" w:rsidRPr="007C6984">
        <w:rPr>
          <w:rFonts w:ascii="Bookman Old Style" w:hAnsi="Bookman Old Style" w:cs="Tahoma"/>
          <w:sz w:val="24"/>
          <w:szCs w:val="24"/>
        </w:rPr>
        <w:t>login. The</w:t>
      </w:r>
      <w:r w:rsidR="000D0391" w:rsidRPr="007C6984">
        <w:rPr>
          <w:rFonts w:ascii="Bookman Old Style" w:hAnsi="Bookman Old Style" w:cs="Tahoma"/>
          <w:sz w:val="24"/>
          <w:szCs w:val="24"/>
        </w:rPr>
        <w:t xml:space="preserve"> cloud allows for 'Elastic Innovation.' It means a small team can scale </w:t>
      </w:r>
      <w:r w:rsidR="002B107F" w:rsidRPr="007C6984">
        <w:rPr>
          <w:rFonts w:ascii="Bookman Old Style" w:hAnsi="Bookman Old Style" w:cs="Tahoma"/>
          <w:sz w:val="24"/>
          <w:szCs w:val="24"/>
        </w:rPr>
        <w:t>its</w:t>
      </w:r>
      <w:r w:rsidR="000D0391" w:rsidRPr="007C6984">
        <w:rPr>
          <w:rFonts w:ascii="Bookman Old Style" w:hAnsi="Bookman Old Style" w:cs="Tahoma"/>
          <w:sz w:val="24"/>
          <w:szCs w:val="24"/>
        </w:rPr>
        <w:t xml:space="preserve"> impact </w:t>
      </w:r>
      <w:r w:rsidR="002B107F" w:rsidRPr="007C6984">
        <w:rPr>
          <w:rFonts w:ascii="Bookman Old Style" w:hAnsi="Bookman Old Style" w:cs="Tahoma"/>
          <w:sz w:val="24"/>
          <w:szCs w:val="24"/>
        </w:rPr>
        <w:t>globally</w:t>
      </w:r>
      <w:r w:rsidR="000D0391" w:rsidRPr="007C6984">
        <w:rPr>
          <w:rFonts w:ascii="Bookman Old Style" w:hAnsi="Bookman Old Style" w:cs="Tahoma"/>
          <w:sz w:val="24"/>
          <w:szCs w:val="24"/>
        </w:rPr>
        <w:t xml:space="preserve"> overnight. But with this power comes a new responsibility: We must ensure this scaling is sustainable—powered by green energy—and secure, protecting the data sovereignty of every nation we touch.</w:t>
      </w:r>
    </w:p>
    <w:p w14:paraId="2CEE69D4" w14:textId="77777777" w:rsidR="007C6984" w:rsidRPr="007C6984" w:rsidRDefault="008F68F4" w:rsidP="007C6984">
      <w:pPr>
        <w:pStyle w:val="NoSpacing"/>
        <w:numPr>
          <w:ilvl w:val="0"/>
          <w:numId w:val="31"/>
        </w:numPr>
        <w:spacing w:before="120" w:after="120" w:line="360" w:lineRule="auto"/>
        <w:ind w:left="0" w:hanging="540"/>
        <w:contextualSpacing/>
        <w:jc w:val="both"/>
        <w:rPr>
          <w:rFonts w:ascii="Bookman Old Style" w:hAnsi="Bookman Old Style" w:cs="Tahoma"/>
          <w:sz w:val="24"/>
          <w:szCs w:val="24"/>
        </w:rPr>
      </w:pPr>
      <w:r w:rsidRPr="007C6984">
        <w:rPr>
          <w:rFonts w:ascii="Bookman Old Style" w:hAnsi="Bookman Old Style" w:cs="Tahoma"/>
          <w:sz w:val="24"/>
          <w:szCs w:val="24"/>
        </w:rPr>
        <w:t xml:space="preserve">The scaling of digital cloud platforms is increasingly inseparable from the evolution of global telecom networks, as cloud growth now depends as much on connectivity as on compute capacity. Hyperscale elasticity is enabled through tight integration between cloud service providers and telecom operators, where high-capacity </w:t>
      </w:r>
      <w:proofErr w:type="spellStart"/>
      <w:r w:rsidRPr="007C6984">
        <w:rPr>
          <w:rFonts w:ascii="Bookman Old Style" w:hAnsi="Bookman Old Style" w:cs="Tahoma"/>
          <w:sz w:val="24"/>
          <w:szCs w:val="24"/>
        </w:rPr>
        <w:t>fiber</w:t>
      </w:r>
      <w:proofErr w:type="spellEnd"/>
      <w:r w:rsidRPr="007C6984">
        <w:rPr>
          <w:rFonts w:ascii="Bookman Old Style" w:hAnsi="Bookman Old Style" w:cs="Tahoma"/>
          <w:sz w:val="24"/>
          <w:szCs w:val="24"/>
        </w:rPr>
        <w:t xml:space="preserve"> backbones, 5G networks, and edge data </w:t>
      </w:r>
      <w:r w:rsidR="004F6717" w:rsidRPr="007C6984">
        <w:rPr>
          <w:rFonts w:ascii="Bookman Old Style" w:hAnsi="Bookman Old Style" w:cs="Tahoma"/>
          <w:sz w:val="24"/>
          <w:szCs w:val="24"/>
        </w:rPr>
        <w:t>centres</w:t>
      </w:r>
      <w:r w:rsidRPr="007C6984">
        <w:rPr>
          <w:rFonts w:ascii="Bookman Old Style" w:hAnsi="Bookman Old Style" w:cs="Tahoma"/>
          <w:sz w:val="24"/>
          <w:szCs w:val="24"/>
        </w:rPr>
        <w:t xml:space="preserve"> allow a startup in one continent to reliably serve millions of users in another with minimal latency. In this converged model, scaling is no longer achieved by simply adding centralized servers, but by architecting workloads across distributed cloud regions, carrier-neutral data </w:t>
      </w:r>
      <w:r w:rsidR="004F6717" w:rsidRPr="007C6984">
        <w:rPr>
          <w:rFonts w:ascii="Bookman Old Style" w:hAnsi="Bookman Old Style" w:cs="Tahoma"/>
          <w:sz w:val="24"/>
          <w:szCs w:val="24"/>
        </w:rPr>
        <w:t>centres</w:t>
      </w:r>
      <w:r w:rsidRPr="007C6984">
        <w:rPr>
          <w:rFonts w:ascii="Bookman Old Style" w:hAnsi="Bookman Old Style" w:cs="Tahoma"/>
          <w:sz w:val="24"/>
          <w:szCs w:val="24"/>
        </w:rPr>
        <w:t>, and telecom edge nodes positioned deep within access networks.</w:t>
      </w:r>
    </w:p>
    <w:p w14:paraId="0349809F" w14:textId="77777777" w:rsidR="0092058C" w:rsidRDefault="002C1CB3" w:rsidP="007C6984">
      <w:pPr>
        <w:pStyle w:val="NoSpacing"/>
        <w:numPr>
          <w:ilvl w:val="0"/>
          <w:numId w:val="31"/>
        </w:numPr>
        <w:spacing w:before="120" w:after="120" w:line="360" w:lineRule="auto"/>
        <w:ind w:left="0" w:hanging="540"/>
        <w:contextualSpacing/>
        <w:jc w:val="both"/>
        <w:rPr>
          <w:rFonts w:ascii="Bookman Old Style" w:hAnsi="Bookman Old Style" w:cs="Tahoma"/>
          <w:sz w:val="24"/>
          <w:szCs w:val="24"/>
        </w:rPr>
      </w:pPr>
      <w:r w:rsidRPr="002C1CB3">
        <w:rPr>
          <w:rFonts w:ascii="Bookman Old Style" w:hAnsi="Bookman Old Style" w:cs="Tahoma"/>
          <w:sz w:val="24"/>
          <w:szCs w:val="24"/>
        </w:rPr>
        <w:t xml:space="preserve">In September 2020, TRAI issued recommendations on “Cloud Services” advocating a light-touch regulatory approach based on a three-step process to set up an industry-led body for Cloud Service Providers (CSPs). The objective </w:t>
      </w:r>
      <w:r w:rsidRPr="002C1CB3">
        <w:rPr>
          <w:rFonts w:ascii="Bookman Old Style" w:hAnsi="Bookman Old Style" w:cs="Tahoma"/>
          <w:sz w:val="24"/>
          <w:szCs w:val="24"/>
        </w:rPr>
        <w:lastRenderedPageBreak/>
        <w:t>was to reinforce India’s regulatory framework for cloud services, while encouraging the development of local data centres, content delivery networks, and interconnect exchanges to manage data flows and increase participation by international CSPs. Building on this approach, in November 2022, TRAI released detailed recommendations on a “Regulatory Framework for Promoting Data Economy through Establishment of Data Centres, Content Delivery Networks, and Interconnect Exchanges in India,” aimed at accelerating the data economy, strengthening data sovereignty, reducing latency, and promoting infrastructure development through incentives and standards.</w:t>
      </w:r>
    </w:p>
    <w:p w14:paraId="704A1E95" w14:textId="7F6C92D2" w:rsidR="007C6984" w:rsidRPr="007C6984" w:rsidRDefault="001B02C7" w:rsidP="007C6984">
      <w:pPr>
        <w:pStyle w:val="NoSpacing"/>
        <w:numPr>
          <w:ilvl w:val="0"/>
          <w:numId w:val="31"/>
        </w:numPr>
        <w:spacing w:before="120" w:after="120" w:line="360" w:lineRule="auto"/>
        <w:ind w:left="0" w:hanging="540"/>
        <w:contextualSpacing/>
        <w:jc w:val="both"/>
        <w:rPr>
          <w:rFonts w:ascii="Bookman Old Style" w:hAnsi="Bookman Old Style" w:cs="Tahoma"/>
          <w:sz w:val="24"/>
          <w:szCs w:val="24"/>
        </w:rPr>
      </w:pPr>
      <w:r w:rsidRPr="007C6984">
        <w:rPr>
          <w:rFonts w:ascii="Bookman Old Style" w:hAnsi="Bookman Old Style" w:cs="Tahoma"/>
          <w:sz w:val="24"/>
          <w:szCs w:val="24"/>
        </w:rPr>
        <w:t>India’s geographic position, expanding data cent</w:t>
      </w:r>
      <w:r w:rsidR="00636FA3" w:rsidRPr="007C6984">
        <w:rPr>
          <w:rFonts w:ascii="Bookman Old Style" w:hAnsi="Bookman Old Style" w:cs="Tahoma"/>
          <w:sz w:val="24"/>
          <w:szCs w:val="24"/>
        </w:rPr>
        <w:t>re</w:t>
      </w:r>
      <w:r w:rsidRPr="007C6984">
        <w:rPr>
          <w:rFonts w:ascii="Bookman Old Style" w:hAnsi="Bookman Old Style" w:cs="Tahoma"/>
          <w:sz w:val="24"/>
          <w:szCs w:val="24"/>
        </w:rPr>
        <w:t xml:space="preserve"> market, and strong digital public infrastructure place it in a </w:t>
      </w:r>
      <w:r w:rsidR="00C472B6" w:rsidRPr="007C6984">
        <w:rPr>
          <w:rFonts w:ascii="Bookman Old Style" w:hAnsi="Bookman Old Style" w:cs="Tahoma"/>
          <w:sz w:val="24"/>
          <w:szCs w:val="24"/>
        </w:rPr>
        <w:t>favourable</w:t>
      </w:r>
      <w:r w:rsidRPr="007C6984">
        <w:rPr>
          <w:rFonts w:ascii="Bookman Old Style" w:hAnsi="Bookman Old Style" w:cs="Tahoma"/>
          <w:sz w:val="24"/>
          <w:szCs w:val="24"/>
        </w:rPr>
        <w:t xml:space="preserve"> position to emerge as a regional connectivity and cloud hub. Policy initiatives that streamline right-of-way approvals, incentivize data cent</w:t>
      </w:r>
      <w:r w:rsidR="00B51BEF" w:rsidRPr="007C6984">
        <w:rPr>
          <w:rFonts w:ascii="Bookman Old Style" w:hAnsi="Bookman Old Style" w:cs="Tahoma"/>
          <w:sz w:val="24"/>
          <w:szCs w:val="24"/>
        </w:rPr>
        <w:t>re</w:t>
      </w:r>
      <w:r w:rsidRPr="007C6984">
        <w:rPr>
          <w:rFonts w:ascii="Bookman Old Style" w:hAnsi="Bookman Old Style" w:cs="Tahoma"/>
          <w:sz w:val="24"/>
          <w:szCs w:val="24"/>
        </w:rPr>
        <w:t xml:space="preserve"> investments, and promote subsea cable diversification can strengthen national digital resilience and global competitiveness.</w:t>
      </w:r>
    </w:p>
    <w:p w14:paraId="311B23D7" w14:textId="77777777" w:rsidR="007C6984" w:rsidRPr="007C6984" w:rsidRDefault="00ED599D" w:rsidP="007C6984">
      <w:pPr>
        <w:pStyle w:val="NoSpacing"/>
        <w:numPr>
          <w:ilvl w:val="0"/>
          <w:numId w:val="31"/>
        </w:numPr>
        <w:spacing w:before="120" w:after="120" w:line="360" w:lineRule="auto"/>
        <w:ind w:left="0" w:hanging="540"/>
        <w:contextualSpacing/>
        <w:jc w:val="both"/>
        <w:rPr>
          <w:rFonts w:ascii="Bookman Old Style" w:hAnsi="Bookman Old Style" w:cs="Tahoma"/>
          <w:sz w:val="24"/>
          <w:szCs w:val="24"/>
        </w:rPr>
      </w:pPr>
      <w:r w:rsidRPr="007C6984">
        <w:rPr>
          <w:rFonts w:ascii="Bookman Old Style" w:hAnsi="Bookman Old Style" w:cs="Tahoma"/>
          <w:sz w:val="24"/>
          <w:szCs w:val="24"/>
        </w:rPr>
        <w:t xml:space="preserve">Artificial intelligence increasingly functions as the engine that simultaneously drives global connectivity and digital scale, transforming networks and clouds from passive infrastructure into intelligent systems. In a hyper-connected environment, AI at the edge is becoming critical, as connecting continents is no longer solely about transporting data to centralized cloud hubs, but about enabling real-time processing closer to end users within telecom access networks, edge data </w:t>
      </w:r>
      <w:r w:rsidR="004F6717" w:rsidRPr="007C6984">
        <w:rPr>
          <w:rFonts w:ascii="Bookman Old Style" w:hAnsi="Bookman Old Style" w:cs="Tahoma"/>
          <w:sz w:val="24"/>
          <w:szCs w:val="24"/>
        </w:rPr>
        <w:t>centres</w:t>
      </w:r>
      <w:r w:rsidRPr="007C6984">
        <w:rPr>
          <w:rFonts w:ascii="Bookman Old Style" w:hAnsi="Bookman Old Style" w:cs="Tahoma"/>
          <w:sz w:val="24"/>
          <w:szCs w:val="24"/>
        </w:rPr>
        <w:t xml:space="preserve">, and 5G nodes. This shift reduces latency, optimizes bandwidth utilization, and enables responsive applications such as autonomous systems, smart infrastructure, and immersive digital services. At the same time, AI-driven scale depends on unified data ecosystems that transcend geographic boundaries. A globally connected digital fabric enables organizations to build a single source of truth by securely aggregating, governing, and </w:t>
      </w:r>
      <w:r w:rsidR="00C472B6" w:rsidRPr="007C6984">
        <w:rPr>
          <w:rFonts w:ascii="Bookman Old Style" w:hAnsi="Bookman Old Style" w:cs="Tahoma"/>
          <w:sz w:val="24"/>
          <w:szCs w:val="24"/>
        </w:rPr>
        <w:t>analysing</w:t>
      </w:r>
      <w:r w:rsidRPr="007C6984">
        <w:rPr>
          <w:rFonts w:ascii="Bookman Old Style" w:hAnsi="Bookman Old Style" w:cs="Tahoma"/>
          <w:sz w:val="24"/>
          <w:szCs w:val="24"/>
        </w:rPr>
        <w:t xml:space="preserve"> large, distributed datasets across regions. Such unified data environments are essential for advancing AI-led innovation, enabling cross-border collaboration in fields such as medicine, climate </w:t>
      </w:r>
      <w:r w:rsidR="00C472B6" w:rsidRPr="007C6984">
        <w:rPr>
          <w:rFonts w:ascii="Bookman Old Style" w:hAnsi="Bookman Old Style" w:cs="Tahoma"/>
          <w:sz w:val="24"/>
          <w:szCs w:val="24"/>
        </w:rPr>
        <w:t>modelling</w:t>
      </w:r>
      <w:r w:rsidRPr="007C6984">
        <w:rPr>
          <w:rFonts w:ascii="Bookman Old Style" w:hAnsi="Bookman Old Style" w:cs="Tahoma"/>
          <w:sz w:val="24"/>
          <w:szCs w:val="24"/>
        </w:rPr>
        <w:t>, and financial systems, while reinforcing the strategic importance of interoperable networks, cloud platforms, and data governance frameworks in the global digital economy.</w:t>
      </w:r>
    </w:p>
    <w:p w14:paraId="5E5BA1CB" w14:textId="77777777" w:rsidR="007C6984" w:rsidRPr="007C6984" w:rsidRDefault="00DC0950" w:rsidP="007C6984">
      <w:pPr>
        <w:pStyle w:val="NoSpacing"/>
        <w:numPr>
          <w:ilvl w:val="0"/>
          <w:numId w:val="31"/>
        </w:numPr>
        <w:spacing w:before="120" w:after="120" w:line="360" w:lineRule="auto"/>
        <w:ind w:left="0" w:hanging="540"/>
        <w:contextualSpacing/>
        <w:jc w:val="both"/>
        <w:rPr>
          <w:rFonts w:ascii="Bookman Old Style" w:hAnsi="Bookman Old Style" w:cs="Tahoma"/>
          <w:sz w:val="24"/>
          <w:szCs w:val="24"/>
        </w:rPr>
      </w:pPr>
      <w:r w:rsidRPr="007C6984">
        <w:rPr>
          <w:rFonts w:ascii="Bookman Old Style" w:hAnsi="Bookman Old Style" w:cs="Tahoma"/>
          <w:sz w:val="24"/>
          <w:szCs w:val="24"/>
        </w:rPr>
        <w:lastRenderedPageBreak/>
        <w:t>Despite their benefits, subsea cables and cloud infrastructure face challenges</w:t>
      </w:r>
      <w:r w:rsidR="00CF0B53" w:rsidRPr="007C6984">
        <w:rPr>
          <w:rFonts w:ascii="Bookman Old Style" w:hAnsi="Bookman Old Style" w:cs="Tahoma"/>
          <w:sz w:val="24"/>
          <w:szCs w:val="24"/>
        </w:rPr>
        <w:t>,</w:t>
      </w:r>
      <w:r w:rsidRPr="007C6984">
        <w:rPr>
          <w:rFonts w:ascii="Bookman Old Style" w:hAnsi="Bookman Old Style" w:cs="Tahoma"/>
          <w:sz w:val="24"/>
          <w:szCs w:val="24"/>
        </w:rPr>
        <w:t xml:space="preserve"> including high capital costs, physical vulnerabilities such as cable cuts, geopolitical risks, and sustainability concerns related to energy consumption. </w:t>
      </w:r>
      <w:r w:rsidR="004F6717" w:rsidRPr="007C6984">
        <w:rPr>
          <w:rFonts w:ascii="Bookman Old Style" w:hAnsi="Bookman Old Style" w:cs="Tahoma"/>
          <w:sz w:val="24"/>
          <w:szCs w:val="24"/>
        </w:rPr>
        <w:t>T</w:t>
      </w:r>
      <w:r w:rsidRPr="007C6984">
        <w:rPr>
          <w:rFonts w:ascii="Bookman Old Style" w:hAnsi="Bookman Old Style" w:cs="Tahoma"/>
          <w:sz w:val="24"/>
          <w:szCs w:val="24"/>
        </w:rPr>
        <w:t xml:space="preserve">hese risks </w:t>
      </w:r>
      <w:r w:rsidR="001303AA" w:rsidRPr="007C6984">
        <w:rPr>
          <w:rFonts w:ascii="Bookman Old Style" w:hAnsi="Bookman Old Style" w:cs="Tahoma"/>
          <w:sz w:val="24"/>
          <w:szCs w:val="24"/>
        </w:rPr>
        <w:t>need to</w:t>
      </w:r>
      <w:r w:rsidR="004F6717" w:rsidRPr="007C6984">
        <w:rPr>
          <w:rFonts w:ascii="Bookman Old Style" w:hAnsi="Bookman Old Style" w:cs="Tahoma"/>
          <w:sz w:val="24"/>
          <w:szCs w:val="24"/>
        </w:rPr>
        <w:t xml:space="preserve"> be addressed </w:t>
      </w:r>
      <w:r w:rsidRPr="007C6984">
        <w:rPr>
          <w:rFonts w:ascii="Bookman Old Style" w:hAnsi="Bookman Old Style" w:cs="Tahoma"/>
          <w:sz w:val="24"/>
          <w:szCs w:val="24"/>
        </w:rPr>
        <w:t>through redundancy planning, international cooperation, and green infrastructure standards.</w:t>
      </w:r>
    </w:p>
    <w:p w14:paraId="1F774B1A" w14:textId="77777777" w:rsidR="007C6984" w:rsidRPr="007C6984" w:rsidRDefault="00DC0950" w:rsidP="007C6984">
      <w:pPr>
        <w:pStyle w:val="NoSpacing"/>
        <w:numPr>
          <w:ilvl w:val="0"/>
          <w:numId w:val="31"/>
        </w:numPr>
        <w:spacing w:before="120" w:after="120" w:line="360" w:lineRule="auto"/>
        <w:ind w:left="0" w:hanging="540"/>
        <w:contextualSpacing/>
        <w:jc w:val="both"/>
        <w:rPr>
          <w:rFonts w:ascii="Bookman Old Style" w:hAnsi="Bookman Old Style" w:cs="Tahoma"/>
          <w:sz w:val="24"/>
          <w:szCs w:val="24"/>
        </w:rPr>
      </w:pPr>
      <w:r w:rsidRPr="007C6984">
        <w:rPr>
          <w:rFonts w:ascii="Bookman Old Style" w:hAnsi="Bookman Old Style" w:cs="Tahoma"/>
          <w:sz w:val="24"/>
          <w:szCs w:val="24"/>
        </w:rPr>
        <w:t xml:space="preserve">Future digital infrastructure strategies will be shaped by private-sector investment, AI-driven network optimization, edge-cloud convergence, and sustainability imperatives. </w:t>
      </w:r>
      <w:r w:rsidR="001303AA" w:rsidRPr="007C6984">
        <w:rPr>
          <w:rFonts w:ascii="Bookman Old Style" w:hAnsi="Bookman Old Style" w:cs="Tahoma"/>
          <w:sz w:val="24"/>
          <w:szCs w:val="24"/>
        </w:rPr>
        <w:t>Policies</w:t>
      </w:r>
      <w:r w:rsidRPr="007C6984">
        <w:rPr>
          <w:rFonts w:ascii="Bookman Old Style" w:hAnsi="Bookman Old Style" w:cs="Tahoma"/>
          <w:sz w:val="24"/>
          <w:szCs w:val="24"/>
        </w:rPr>
        <w:t xml:space="preserve"> should prioritize diversified international connectivity, supportive cloud policies, public–private partnerships, and regional cooperation frameworks to ensure resilient and inclusive digital growth.</w:t>
      </w:r>
    </w:p>
    <w:p w14:paraId="19F25B00" w14:textId="77777777" w:rsidR="007C6984" w:rsidRPr="007C6984" w:rsidRDefault="00F86D84" w:rsidP="007C6984">
      <w:pPr>
        <w:pStyle w:val="NoSpacing"/>
        <w:numPr>
          <w:ilvl w:val="0"/>
          <w:numId w:val="31"/>
        </w:numPr>
        <w:spacing w:before="120" w:after="120" w:line="360" w:lineRule="auto"/>
        <w:ind w:left="0" w:hanging="540"/>
        <w:contextualSpacing/>
        <w:jc w:val="both"/>
        <w:rPr>
          <w:rFonts w:ascii="Bookman Old Style" w:hAnsi="Bookman Old Style" w:cs="Tahoma"/>
          <w:sz w:val="24"/>
          <w:szCs w:val="24"/>
        </w:rPr>
      </w:pPr>
      <w:r w:rsidRPr="007C6984">
        <w:rPr>
          <w:rFonts w:ascii="Bookman Old Style" w:hAnsi="Bookman Old Style" w:cs="Tahoma"/>
          <w:sz w:val="24"/>
          <w:szCs w:val="24"/>
        </w:rPr>
        <w:t>As the digital future unfolds, the distance between “here” and “there” will continue to diminish, reshaping how societies, economies, and institutions interact. The responsibility before policymakers, telecom operators, cloud providers, and technology leaders is to ensure that the bridges being built—across subsea cables, terrestrial networks, satellite systems, and scalable cloud platforms—are resilient by design, inclusive in reach, and bold in ambition.</w:t>
      </w:r>
    </w:p>
    <w:p w14:paraId="35B07E74" w14:textId="77777777" w:rsidR="007C6984" w:rsidRPr="007C6984" w:rsidRDefault="00F86D84" w:rsidP="007C6984">
      <w:pPr>
        <w:pStyle w:val="NoSpacing"/>
        <w:numPr>
          <w:ilvl w:val="0"/>
          <w:numId w:val="31"/>
        </w:numPr>
        <w:spacing w:before="120" w:after="120" w:line="360" w:lineRule="auto"/>
        <w:ind w:left="0" w:hanging="540"/>
        <w:contextualSpacing/>
        <w:jc w:val="both"/>
        <w:rPr>
          <w:rFonts w:ascii="Bookman Old Style" w:hAnsi="Bookman Old Style" w:cs="Tahoma"/>
          <w:sz w:val="24"/>
          <w:szCs w:val="24"/>
        </w:rPr>
      </w:pPr>
      <w:r w:rsidRPr="007C6984">
        <w:rPr>
          <w:rFonts w:ascii="Bookman Old Style" w:hAnsi="Bookman Old Style" w:cs="Tahoma"/>
          <w:sz w:val="24"/>
          <w:szCs w:val="24"/>
        </w:rPr>
        <w:t>Connecting continents and scaling clouds is not merely an exercise in moving data at greater speed or volume; it is about enabling equitable access to knowledge, markets, and innovation. When digital infrastructure is treated as foundational public-good infrastructure, opportunity becomes decoupled from geography and increasingly driven by human creativity and imagination. In this convergence of networks, clouds, and intelligence lies the potential to move not just information, but humanity itself, toward a more connected, resilient, and prosperous future.</w:t>
      </w:r>
    </w:p>
    <w:p w14:paraId="6CD9C32F" w14:textId="658B8D16" w:rsidR="000624AD" w:rsidRPr="007C6984" w:rsidRDefault="000624AD" w:rsidP="007C6984">
      <w:pPr>
        <w:pStyle w:val="NoSpacing"/>
        <w:numPr>
          <w:ilvl w:val="0"/>
          <w:numId w:val="31"/>
        </w:numPr>
        <w:spacing w:before="120" w:after="120" w:line="360" w:lineRule="auto"/>
        <w:ind w:left="0" w:hanging="540"/>
        <w:contextualSpacing/>
        <w:jc w:val="both"/>
        <w:rPr>
          <w:rFonts w:ascii="Bookman Old Style" w:hAnsi="Bookman Old Style" w:cs="Tahoma"/>
          <w:sz w:val="24"/>
          <w:szCs w:val="24"/>
        </w:rPr>
      </w:pPr>
      <w:r w:rsidRPr="007C6984">
        <w:rPr>
          <w:rFonts w:ascii="Bookman Old Style" w:hAnsi="Bookman Old Style" w:cs="Tahoma"/>
          <w:sz w:val="24"/>
          <w:szCs w:val="24"/>
        </w:rPr>
        <w:t>At the end, I would like to thank Broadband India Forum for hosting 1st Convergent Conference on Subsea Cable and Digital Cloud Infrastructure, and I extend my best wishes for its success</w:t>
      </w:r>
      <w:r w:rsidR="00CF40ED" w:rsidRPr="007C6984">
        <w:rPr>
          <w:rFonts w:ascii="Bookman Old Style" w:hAnsi="Bookman Old Style" w:cs="Tahoma"/>
          <w:sz w:val="24"/>
          <w:szCs w:val="24"/>
        </w:rPr>
        <w:t>ful outcome</w:t>
      </w:r>
      <w:r w:rsidRPr="007C6984">
        <w:rPr>
          <w:rFonts w:ascii="Bookman Old Style" w:hAnsi="Bookman Old Style" w:cs="Tahoma"/>
          <w:sz w:val="24"/>
          <w:szCs w:val="24"/>
        </w:rPr>
        <w:t>.</w:t>
      </w:r>
    </w:p>
    <w:p w14:paraId="1633B171" w14:textId="6EDA5FDC" w:rsidR="000D0391" w:rsidRPr="007C6984" w:rsidRDefault="000624AD" w:rsidP="007C6984">
      <w:pPr>
        <w:spacing w:before="120" w:after="120" w:line="360" w:lineRule="auto"/>
        <w:contextualSpacing/>
        <w:jc w:val="both"/>
        <w:rPr>
          <w:rFonts w:ascii="Bookman Old Style" w:hAnsi="Bookman Old Style" w:cs="Tahoma"/>
          <w:sz w:val="24"/>
          <w:szCs w:val="24"/>
        </w:rPr>
      </w:pPr>
      <w:r w:rsidRPr="007C6984">
        <w:rPr>
          <w:rFonts w:ascii="Bookman Old Style" w:hAnsi="Bookman Old Style" w:cs="Tahoma"/>
          <w:sz w:val="24"/>
          <w:szCs w:val="24"/>
        </w:rPr>
        <w:t>Thank you all</w:t>
      </w:r>
      <w:r w:rsidR="003B7F30" w:rsidRPr="007C6984">
        <w:rPr>
          <w:rFonts w:ascii="Bookman Old Style" w:hAnsi="Bookman Old Style" w:cs="Tahoma"/>
          <w:sz w:val="24"/>
          <w:szCs w:val="24"/>
        </w:rPr>
        <w:t>.</w:t>
      </w:r>
    </w:p>
    <w:sectPr w:rsidR="000D0391" w:rsidRPr="007C6984" w:rsidSect="003B7F30">
      <w:headerReference w:type="even" r:id="rId11"/>
      <w:headerReference w:type="default" r:id="rId12"/>
      <w:footerReference w:type="even" r:id="rId13"/>
      <w:footerReference w:type="default" r:id="rId14"/>
      <w:headerReference w:type="first" r:id="rId15"/>
      <w:footerReference w:type="first" r:id="rId16"/>
      <w:pgSz w:w="11906" w:h="16838"/>
      <w:pgMar w:top="1361" w:right="1361" w:bottom="1361"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E6ABA" w14:textId="77777777" w:rsidR="00B91378" w:rsidRDefault="00B91378" w:rsidP="00415A94">
      <w:pPr>
        <w:spacing w:after="0" w:line="240" w:lineRule="auto"/>
      </w:pPr>
      <w:r>
        <w:separator/>
      </w:r>
    </w:p>
  </w:endnote>
  <w:endnote w:type="continuationSeparator" w:id="0">
    <w:p w14:paraId="024EA3BB" w14:textId="77777777" w:rsidR="00B91378" w:rsidRDefault="00B91378" w:rsidP="00415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24C14" w14:textId="77777777" w:rsidR="001343AB" w:rsidRDefault="001343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9599005"/>
      <w:docPartObj>
        <w:docPartGallery w:val="Page Numbers (Bottom of Page)"/>
        <w:docPartUnique/>
      </w:docPartObj>
    </w:sdtPr>
    <w:sdtContent>
      <w:sdt>
        <w:sdtPr>
          <w:id w:val="1728636285"/>
          <w:docPartObj>
            <w:docPartGallery w:val="Page Numbers (Top of Page)"/>
            <w:docPartUnique/>
          </w:docPartObj>
        </w:sdtPr>
        <w:sdtContent>
          <w:p w14:paraId="6882D53F" w14:textId="2FB4210F" w:rsidR="001343AB" w:rsidRDefault="001343AB">
            <w:pPr>
              <w:pStyle w:val="Footer"/>
              <w:jc w:val="center"/>
            </w:pPr>
            <w:r w:rsidRPr="001343AB">
              <w:rPr>
                <w:rFonts w:ascii="Tahoma" w:hAnsi="Tahoma" w:cs="Tahoma"/>
                <w:sz w:val="20"/>
                <w:szCs w:val="20"/>
              </w:rPr>
              <w:t xml:space="preserve">Page </w:t>
            </w:r>
            <w:r w:rsidRPr="001343AB">
              <w:rPr>
                <w:rFonts w:ascii="Tahoma" w:hAnsi="Tahoma" w:cs="Tahoma"/>
                <w:b/>
                <w:bCs/>
                <w:sz w:val="20"/>
                <w:szCs w:val="20"/>
              </w:rPr>
              <w:fldChar w:fldCharType="begin"/>
            </w:r>
            <w:r w:rsidRPr="001343AB">
              <w:rPr>
                <w:rFonts w:ascii="Tahoma" w:hAnsi="Tahoma" w:cs="Tahoma"/>
                <w:b/>
                <w:bCs/>
                <w:sz w:val="20"/>
                <w:szCs w:val="20"/>
              </w:rPr>
              <w:instrText xml:space="preserve"> PAGE </w:instrText>
            </w:r>
            <w:r w:rsidRPr="001343AB">
              <w:rPr>
                <w:rFonts w:ascii="Tahoma" w:hAnsi="Tahoma" w:cs="Tahoma"/>
                <w:b/>
                <w:bCs/>
                <w:sz w:val="20"/>
                <w:szCs w:val="20"/>
              </w:rPr>
              <w:fldChar w:fldCharType="separate"/>
            </w:r>
            <w:r w:rsidRPr="001343AB">
              <w:rPr>
                <w:rFonts w:ascii="Tahoma" w:hAnsi="Tahoma" w:cs="Tahoma"/>
                <w:b/>
                <w:bCs/>
                <w:noProof/>
                <w:sz w:val="20"/>
                <w:szCs w:val="20"/>
              </w:rPr>
              <w:t>2</w:t>
            </w:r>
            <w:r w:rsidRPr="001343AB">
              <w:rPr>
                <w:rFonts w:ascii="Tahoma" w:hAnsi="Tahoma" w:cs="Tahoma"/>
                <w:b/>
                <w:bCs/>
                <w:sz w:val="20"/>
                <w:szCs w:val="20"/>
              </w:rPr>
              <w:fldChar w:fldCharType="end"/>
            </w:r>
            <w:r w:rsidRPr="001343AB">
              <w:rPr>
                <w:rFonts w:ascii="Tahoma" w:hAnsi="Tahoma" w:cs="Tahoma"/>
                <w:sz w:val="20"/>
                <w:szCs w:val="20"/>
              </w:rPr>
              <w:t xml:space="preserve"> of </w:t>
            </w:r>
            <w:r w:rsidRPr="001343AB">
              <w:rPr>
                <w:rFonts w:ascii="Tahoma" w:hAnsi="Tahoma" w:cs="Tahoma"/>
                <w:b/>
                <w:bCs/>
                <w:sz w:val="20"/>
                <w:szCs w:val="20"/>
              </w:rPr>
              <w:fldChar w:fldCharType="begin"/>
            </w:r>
            <w:r w:rsidRPr="001343AB">
              <w:rPr>
                <w:rFonts w:ascii="Tahoma" w:hAnsi="Tahoma" w:cs="Tahoma"/>
                <w:b/>
                <w:bCs/>
                <w:sz w:val="20"/>
                <w:szCs w:val="20"/>
              </w:rPr>
              <w:instrText xml:space="preserve"> NUMPAGES  </w:instrText>
            </w:r>
            <w:r w:rsidRPr="001343AB">
              <w:rPr>
                <w:rFonts w:ascii="Tahoma" w:hAnsi="Tahoma" w:cs="Tahoma"/>
                <w:b/>
                <w:bCs/>
                <w:sz w:val="20"/>
                <w:szCs w:val="20"/>
              </w:rPr>
              <w:fldChar w:fldCharType="separate"/>
            </w:r>
            <w:r w:rsidRPr="001343AB">
              <w:rPr>
                <w:rFonts w:ascii="Tahoma" w:hAnsi="Tahoma" w:cs="Tahoma"/>
                <w:b/>
                <w:bCs/>
                <w:noProof/>
                <w:sz w:val="20"/>
                <w:szCs w:val="20"/>
              </w:rPr>
              <w:t>2</w:t>
            </w:r>
            <w:r w:rsidRPr="001343AB">
              <w:rPr>
                <w:rFonts w:ascii="Tahoma" w:hAnsi="Tahoma" w:cs="Tahoma"/>
                <w:b/>
                <w:bCs/>
                <w:sz w:val="20"/>
                <w:szCs w:val="20"/>
              </w:rPr>
              <w:fldChar w:fldCharType="end"/>
            </w:r>
          </w:p>
        </w:sdtContent>
      </w:sdt>
    </w:sdtContent>
  </w:sdt>
  <w:p w14:paraId="472083AB" w14:textId="77777777" w:rsidR="001343AB" w:rsidRDefault="001343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5600F" w14:textId="77777777" w:rsidR="001343AB" w:rsidRDefault="001343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288F1" w14:textId="77777777" w:rsidR="00B91378" w:rsidRDefault="00B91378" w:rsidP="00415A94">
      <w:pPr>
        <w:spacing w:after="0" w:line="240" w:lineRule="auto"/>
      </w:pPr>
      <w:r>
        <w:separator/>
      </w:r>
    </w:p>
  </w:footnote>
  <w:footnote w:type="continuationSeparator" w:id="0">
    <w:p w14:paraId="1AEAAE3B" w14:textId="77777777" w:rsidR="00B91378" w:rsidRDefault="00B91378" w:rsidP="00415A94">
      <w:pPr>
        <w:spacing w:after="0" w:line="240" w:lineRule="auto"/>
      </w:pPr>
      <w:r>
        <w:continuationSeparator/>
      </w:r>
    </w:p>
  </w:footnote>
  <w:footnote w:id="1">
    <w:p w14:paraId="7B80E678" w14:textId="2DF801A0" w:rsidR="00580F4A" w:rsidRDefault="00580F4A">
      <w:pPr>
        <w:pStyle w:val="FootnoteText"/>
      </w:pPr>
      <w:r>
        <w:rPr>
          <w:rStyle w:val="FootnoteReference"/>
        </w:rPr>
        <w:footnoteRef/>
      </w:r>
      <w:r>
        <w:t xml:space="preserve"> </w:t>
      </w:r>
      <w:hyperlink r:id="rId1" w:history="1">
        <w:r w:rsidRPr="00D8543B">
          <w:rPr>
            <w:rStyle w:val="Hyperlink"/>
          </w:rPr>
          <w:t>https://www.futuremarketinsights.com/reports/submarine-cables-market</w:t>
        </w:r>
      </w:hyperlink>
    </w:p>
    <w:p w14:paraId="76FD0E97" w14:textId="77777777" w:rsidR="00580F4A" w:rsidRPr="00580F4A" w:rsidRDefault="00580F4A">
      <w:pPr>
        <w:pStyle w:val="FootnoteText"/>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AEC0F" w14:textId="77777777" w:rsidR="001343AB" w:rsidRDefault="001343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55413" w14:textId="77777777" w:rsidR="001343AB" w:rsidRDefault="001343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300A6" w14:textId="77777777" w:rsidR="001343AB" w:rsidRDefault="001343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544F14"/>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39DE478"/>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A42573"/>
    <w:multiLevelType w:val="multilevel"/>
    <w:tmpl w:val="EBCC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E3628"/>
    <w:multiLevelType w:val="multilevel"/>
    <w:tmpl w:val="9F3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037138"/>
    <w:multiLevelType w:val="multilevel"/>
    <w:tmpl w:val="6BE0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A5F09"/>
    <w:multiLevelType w:val="multilevel"/>
    <w:tmpl w:val="2932B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623D1A"/>
    <w:multiLevelType w:val="hybridMultilevel"/>
    <w:tmpl w:val="EE9EE98E"/>
    <w:lvl w:ilvl="0" w:tplc="FFFFFFFF">
      <w:start w:val="1"/>
      <w:numFmt w:val="decimal"/>
      <w:lvlText w:val="%1."/>
      <w:lvlJc w:val="left"/>
      <w:pPr>
        <w:ind w:left="502"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AD11AB7"/>
    <w:multiLevelType w:val="hybridMultilevel"/>
    <w:tmpl w:val="2594FA1C"/>
    <w:lvl w:ilvl="0" w:tplc="FFFFFFFF">
      <w:start w:val="1"/>
      <w:numFmt w:val="decimal"/>
      <w:lvlText w:val="%1."/>
      <w:lvlJc w:val="left"/>
      <w:pPr>
        <w:ind w:left="50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7531B9"/>
    <w:multiLevelType w:val="multilevel"/>
    <w:tmpl w:val="7A2E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32E5B"/>
    <w:multiLevelType w:val="hybridMultilevel"/>
    <w:tmpl w:val="F4D40BD8"/>
    <w:lvl w:ilvl="0" w:tplc="D8ACF1C4">
      <w:start w:val="1"/>
      <w:numFmt w:val="decimal"/>
      <w:lvlText w:val="%1."/>
      <w:lvlJc w:val="left"/>
      <w:pPr>
        <w:ind w:left="6314" w:hanging="360"/>
      </w:pPr>
      <w:rPr>
        <w:b w:val="0"/>
        <w:bCs w:val="0"/>
        <w:lang w:val="en"/>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71A5BA0"/>
    <w:multiLevelType w:val="multilevel"/>
    <w:tmpl w:val="8308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67973"/>
    <w:multiLevelType w:val="hybridMultilevel"/>
    <w:tmpl w:val="EE9EE98E"/>
    <w:lvl w:ilvl="0" w:tplc="4009000F">
      <w:start w:val="1"/>
      <w:numFmt w:val="decimal"/>
      <w:lvlText w:val="%1."/>
      <w:lvlJc w:val="left"/>
      <w:pPr>
        <w:ind w:left="502"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7CD2D4E"/>
    <w:multiLevelType w:val="multilevel"/>
    <w:tmpl w:val="6D54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15C79"/>
    <w:multiLevelType w:val="multilevel"/>
    <w:tmpl w:val="A614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D3F7D"/>
    <w:multiLevelType w:val="multilevel"/>
    <w:tmpl w:val="CE3E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CF40D6"/>
    <w:multiLevelType w:val="multilevel"/>
    <w:tmpl w:val="2BC4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AD554C"/>
    <w:multiLevelType w:val="multilevel"/>
    <w:tmpl w:val="1D60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60A7F"/>
    <w:multiLevelType w:val="hybridMultilevel"/>
    <w:tmpl w:val="C3BA346C"/>
    <w:lvl w:ilvl="0" w:tplc="40090005">
      <w:start w:val="1"/>
      <w:numFmt w:val="bullet"/>
      <w:lvlText w:val=""/>
      <w:lvlJc w:val="left"/>
      <w:pPr>
        <w:ind w:left="502"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BC12A9E"/>
    <w:multiLevelType w:val="multilevel"/>
    <w:tmpl w:val="314E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55279"/>
    <w:multiLevelType w:val="multilevel"/>
    <w:tmpl w:val="413E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72405C"/>
    <w:multiLevelType w:val="hybridMultilevel"/>
    <w:tmpl w:val="BC48C862"/>
    <w:lvl w:ilvl="0" w:tplc="0AD61E58">
      <w:start w:val="1"/>
      <w:numFmt w:val="decimal"/>
      <w:lvlText w:val="%1."/>
      <w:lvlJc w:val="left"/>
      <w:pPr>
        <w:ind w:left="720"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6C82365"/>
    <w:multiLevelType w:val="multilevel"/>
    <w:tmpl w:val="1228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E75666"/>
    <w:multiLevelType w:val="multilevel"/>
    <w:tmpl w:val="7D68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393074"/>
    <w:multiLevelType w:val="hybridMultilevel"/>
    <w:tmpl w:val="EE9EE98E"/>
    <w:lvl w:ilvl="0" w:tplc="FFFFFFFF">
      <w:start w:val="1"/>
      <w:numFmt w:val="decimal"/>
      <w:lvlText w:val="%1."/>
      <w:lvlJc w:val="left"/>
      <w:pPr>
        <w:ind w:left="502"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D1F279E"/>
    <w:multiLevelType w:val="multilevel"/>
    <w:tmpl w:val="00B4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7B138D"/>
    <w:multiLevelType w:val="multilevel"/>
    <w:tmpl w:val="8A90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3457DB"/>
    <w:multiLevelType w:val="multilevel"/>
    <w:tmpl w:val="6288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9005F4"/>
    <w:multiLevelType w:val="hybridMultilevel"/>
    <w:tmpl w:val="EE9EE98E"/>
    <w:lvl w:ilvl="0" w:tplc="FFFFFFFF">
      <w:start w:val="1"/>
      <w:numFmt w:val="decimal"/>
      <w:lvlText w:val="%1."/>
      <w:lvlJc w:val="left"/>
      <w:pPr>
        <w:ind w:left="502"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A493838"/>
    <w:multiLevelType w:val="multilevel"/>
    <w:tmpl w:val="D0DE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1B14D4"/>
    <w:multiLevelType w:val="multilevel"/>
    <w:tmpl w:val="7B5A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1803F8"/>
    <w:multiLevelType w:val="hybridMultilevel"/>
    <w:tmpl w:val="EE9EE9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42546420">
    <w:abstractNumId w:val="11"/>
  </w:num>
  <w:num w:numId="2" w16cid:durableId="540824458">
    <w:abstractNumId w:val="9"/>
  </w:num>
  <w:num w:numId="3" w16cid:durableId="1713380221">
    <w:abstractNumId w:val="30"/>
  </w:num>
  <w:num w:numId="4" w16cid:durableId="831868649">
    <w:abstractNumId w:val="25"/>
  </w:num>
  <w:num w:numId="5" w16cid:durableId="1191064925">
    <w:abstractNumId w:val="13"/>
  </w:num>
  <w:num w:numId="6" w16cid:durableId="1638146940">
    <w:abstractNumId w:val="0"/>
  </w:num>
  <w:num w:numId="7" w16cid:durableId="217985300">
    <w:abstractNumId w:val="1"/>
  </w:num>
  <w:num w:numId="8" w16cid:durableId="37439704">
    <w:abstractNumId w:val="23"/>
  </w:num>
  <w:num w:numId="9" w16cid:durableId="1410613268">
    <w:abstractNumId w:val="3"/>
  </w:num>
  <w:num w:numId="10" w16cid:durableId="2104061296">
    <w:abstractNumId w:val="5"/>
  </w:num>
  <w:num w:numId="11" w16cid:durableId="643314515">
    <w:abstractNumId w:val="10"/>
  </w:num>
  <w:num w:numId="12" w16cid:durableId="399838492">
    <w:abstractNumId w:val="27"/>
  </w:num>
  <w:num w:numId="13" w16cid:durableId="269317051">
    <w:abstractNumId w:val="28"/>
  </w:num>
  <w:num w:numId="14" w16cid:durableId="372273136">
    <w:abstractNumId w:val="15"/>
  </w:num>
  <w:num w:numId="15" w16cid:durableId="1470634612">
    <w:abstractNumId w:val="14"/>
  </w:num>
  <w:num w:numId="16" w16cid:durableId="496921268">
    <w:abstractNumId w:val="18"/>
  </w:num>
  <w:num w:numId="17" w16cid:durableId="214775305">
    <w:abstractNumId w:val="21"/>
  </w:num>
  <w:num w:numId="18" w16cid:durableId="982126249">
    <w:abstractNumId w:val="16"/>
  </w:num>
  <w:num w:numId="19" w16cid:durableId="1472551384">
    <w:abstractNumId w:val="8"/>
  </w:num>
  <w:num w:numId="20" w16cid:durableId="1133324423">
    <w:abstractNumId w:val="12"/>
  </w:num>
  <w:num w:numId="21" w16cid:durableId="1081172921">
    <w:abstractNumId w:val="6"/>
  </w:num>
  <w:num w:numId="22" w16cid:durableId="1526941949">
    <w:abstractNumId w:val="17"/>
  </w:num>
  <w:num w:numId="23" w16cid:durableId="1890994792">
    <w:abstractNumId w:val="2"/>
  </w:num>
  <w:num w:numId="24" w16cid:durableId="1752463397">
    <w:abstractNumId w:val="19"/>
  </w:num>
  <w:num w:numId="25" w16cid:durableId="739404796">
    <w:abstractNumId w:val="29"/>
  </w:num>
  <w:num w:numId="26" w16cid:durableId="1139492433">
    <w:abstractNumId w:val="24"/>
  </w:num>
  <w:num w:numId="27" w16cid:durableId="2127432398">
    <w:abstractNumId w:val="22"/>
  </w:num>
  <w:num w:numId="28" w16cid:durableId="154685463">
    <w:abstractNumId w:val="4"/>
  </w:num>
  <w:num w:numId="29" w16cid:durableId="532381213">
    <w:abstractNumId w:val="26"/>
  </w:num>
  <w:num w:numId="30" w16cid:durableId="2072846568">
    <w:abstractNumId w:val="7"/>
  </w:num>
  <w:num w:numId="31" w16cid:durableId="12525493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A32"/>
    <w:rsid w:val="00017FE4"/>
    <w:rsid w:val="000222BA"/>
    <w:rsid w:val="0003602F"/>
    <w:rsid w:val="00036717"/>
    <w:rsid w:val="00037758"/>
    <w:rsid w:val="000378F4"/>
    <w:rsid w:val="000414C2"/>
    <w:rsid w:val="00041AF7"/>
    <w:rsid w:val="0005301E"/>
    <w:rsid w:val="00055680"/>
    <w:rsid w:val="000573BB"/>
    <w:rsid w:val="00061D13"/>
    <w:rsid w:val="00061EA2"/>
    <w:rsid w:val="000624AD"/>
    <w:rsid w:val="00064402"/>
    <w:rsid w:val="00066512"/>
    <w:rsid w:val="00066B96"/>
    <w:rsid w:val="00070FC7"/>
    <w:rsid w:val="00071BC9"/>
    <w:rsid w:val="000769CC"/>
    <w:rsid w:val="0008073D"/>
    <w:rsid w:val="00083C46"/>
    <w:rsid w:val="000852AF"/>
    <w:rsid w:val="00087B1A"/>
    <w:rsid w:val="00094179"/>
    <w:rsid w:val="00094936"/>
    <w:rsid w:val="000A2C0D"/>
    <w:rsid w:val="000A65D5"/>
    <w:rsid w:val="000C5BEC"/>
    <w:rsid w:val="000D0391"/>
    <w:rsid w:val="000E1E45"/>
    <w:rsid w:val="000E58BE"/>
    <w:rsid w:val="000E7345"/>
    <w:rsid w:val="00103B42"/>
    <w:rsid w:val="00104518"/>
    <w:rsid w:val="00105AC6"/>
    <w:rsid w:val="00110FDF"/>
    <w:rsid w:val="00111281"/>
    <w:rsid w:val="0011144F"/>
    <w:rsid w:val="001117DB"/>
    <w:rsid w:val="0011498B"/>
    <w:rsid w:val="00123283"/>
    <w:rsid w:val="00125B0B"/>
    <w:rsid w:val="00130160"/>
    <w:rsid w:val="001303AA"/>
    <w:rsid w:val="00133720"/>
    <w:rsid w:val="0013434A"/>
    <w:rsid w:val="001343AB"/>
    <w:rsid w:val="001421DB"/>
    <w:rsid w:val="00143FFD"/>
    <w:rsid w:val="00146338"/>
    <w:rsid w:val="001614D6"/>
    <w:rsid w:val="0016229A"/>
    <w:rsid w:val="0016499F"/>
    <w:rsid w:val="00170461"/>
    <w:rsid w:val="0017250B"/>
    <w:rsid w:val="0017334D"/>
    <w:rsid w:val="00175F14"/>
    <w:rsid w:val="00182581"/>
    <w:rsid w:val="001841AD"/>
    <w:rsid w:val="00184C31"/>
    <w:rsid w:val="00185375"/>
    <w:rsid w:val="001870FD"/>
    <w:rsid w:val="0019279C"/>
    <w:rsid w:val="001959CC"/>
    <w:rsid w:val="001A6020"/>
    <w:rsid w:val="001B02C7"/>
    <w:rsid w:val="001B481A"/>
    <w:rsid w:val="001B481B"/>
    <w:rsid w:val="001C5916"/>
    <w:rsid w:val="001C75A4"/>
    <w:rsid w:val="001D0A8A"/>
    <w:rsid w:val="001D1474"/>
    <w:rsid w:val="001D491F"/>
    <w:rsid w:val="001D6F23"/>
    <w:rsid w:val="001E04F8"/>
    <w:rsid w:val="001E0A04"/>
    <w:rsid w:val="001F212C"/>
    <w:rsid w:val="001F22E1"/>
    <w:rsid w:val="001F410C"/>
    <w:rsid w:val="001F575B"/>
    <w:rsid w:val="002001FD"/>
    <w:rsid w:val="0020341B"/>
    <w:rsid w:val="002067EB"/>
    <w:rsid w:val="0021448D"/>
    <w:rsid w:val="00214A66"/>
    <w:rsid w:val="0022410F"/>
    <w:rsid w:val="00234F74"/>
    <w:rsid w:val="00241890"/>
    <w:rsid w:val="00251640"/>
    <w:rsid w:val="0025360E"/>
    <w:rsid w:val="00270979"/>
    <w:rsid w:val="00272B8A"/>
    <w:rsid w:val="00274A1E"/>
    <w:rsid w:val="00281D70"/>
    <w:rsid w:val="002A170B"/>
    <w:rsid w:val="002A2430"/>
    <w:rsid w:val="002B107F"/>
    <w:rsid w:val="002B40DC"/>
    <w:rsid w:val="002B72E4"/>
    <w:rsid w:val="002C140E"/>
    <w:rsid w:val="002C1CB3"/>
    <w:rsid w:val="002D2554"/>
    <w:rsid w:val="002D2FB8"/>
    <w:rsid w:val="002D499B"/>
    <w:rsid w:val="002D6C98"/>
    <w:rsid w:val="002E0B63"/>
    <w:rsid w:val="002E6B04"/>
    <w:rsid w:val="002F0AFE"/>
    <w:rsid w:val="002F7A90"/>
    <w:rsid w:val="00300865"/>
    <w:rsid w:val="00303AFE"/>
    <w:rsid w:val="00307B6C"/>
    <w:rsid w:val="00312BBC"/>
    <w:rsid w:val="003247BA"/>
    <w:rsid w:val="0032684C"/>
    <w:rsid w:val="00331F44"/>
    <w:rsid w:val="00334C8A"/>
    <w:rsid w:val="00341EF5"/>
    <w:rsid w:val="00356582"/>
    <w:rsid w:val="0035772F"/>
    <w:rsid w:val="00362CD4"/>
    <w:rsid w:val="003644D5"/>
    <w:rsid w:val="00364AB9"/>
    <w:rsid w:val="00371AD4"/>
    <w:rsid w:val="00373260"/>
    <w:rsid w:val="003756A0"/>
    <w:rsid w:val="00375A68"/>
    <w:rsid w:val="00381A2A"/>
    <w:rsid w:val="003825C0"/>
    <w:rsid w:val="0038767F"/>
    <w:rsid w:val="00390619"/>
    <w:rsid w:val="00397826"/>
    <w:rsid w:val="003A5DC7"/>
    <w:rsid w:val="003B3F32"/>
    <w:rsid w:val="003B6DD2"/>
    <w:rsid w:val="003B7846"/>
    <w:rsid w:val="003B7F30"/>
    <w:rsid w:val="003C0E74"/>
    <w:rsid w:val="003C13A9"/>
    <w:rsid w:val="003C5307"/>
    <w:rsid w:val="003C568F"/>
    <w:rsid w:val="003C71F1"/>
    <w:rsid w:val="003C7D45"/>
    <w:rsid w:val="003C7EFD"/>
    <w:rsid w:val="003D6E1A"/>
    <w:rsid w:val="003F3F6C"/>
    <w:rsid w:val="003F670A"/>
    <w:rsid w:val="0040277C"/>
    <w:rsid w:val="004035E7"/>
    <w:rsid w:val="004143A3"/>
    <w:rsid w:val="00415A94"/>
    <w:rsid w:val="004244F7"/>
    <w:rsid w:val="004246FB"/>
    <w:rsid w:val="004340C0"/>
    <w:rsid w:val="00436E0D"/>
    <w:rsid w:val="00442572"/>
    <w:rsid w:val="00450807"/>
    <w:rsid w:val="00456EFC"/>
    <w:rsid w:val="0045727B"/>
    <w:rsid w:val="00460B35"/>
    <w:rsid w:val="00460D19"/>
    <w:rsid w:val="00465C7F"/>
    <w:rsid w:val="004720A3"/>
    <w:rsid w:val="00472F38"/>
    <w:rsid w:val="0048021C"/>
    <w:rsid w:val="00482087"/>
    <w:rsid w:val="004871B3"/>
    <w:rsid w:val="00492F5F"/>
    <w:rsid w:val="00494C58"/>
    <w:rsid w:val="004A1015"/>
    <w:rsid w:val="004A2A8E"/>
    <w:rsid w:val="004A55B2"/>
    <w:rsid w:val="004B0FD8"/>
    <w:rsid w:val="004B1CB7"/>
    <w:rsid w:val="004C097D"/>
    <w:rsid w:val="004C1748"/>
    <w:rsid w:val="004C4805"/>
    <w:rsid w:val="004D0416"/>
    <w:rsid w:val="004D2A16"/>
    <w:rsid w:val="004D6512"/>
    <w:rsid w:val="004E76F2"/>
    <w:rsid w:val="004F0786"/>
    <w:rsid w:val="004F6717"/>
    <w:rsid w:val="00504685"/>
    <w:rsid w:val="005061D2"/>
    <w:rsid w:val="00506327"/>
    <w:rsid w:val="005159F2"/>
    <w:rsid w:val="00516D26"/>
    <w:rsid w:val="00523F7D"/>
    <w:rsid w:val="005269AB"/>
    <w:rsid w:val="005319AE"/>
    <w:rsid w:val="00532993"/>
    <w:rsid w:val="005351C7"/>
    <w:rsid w:val="00537DEF"/>
    <w:rsid w:val="00543EE8"/>
    <w:rsid w:val="005457E0"/>
    <w:rsid w:val="0055497C"/>
    <w:rsid w:val="00556965"/>
    <w:rsid w:val="00561733"/>
    <w:rsid w:val="00567C79"/>
    <w:rsid w:val="005729D8"/>
    <w:rsid w:val="00574703"/>
    <w:rsid w:val="005747F6"/>
    <w:rsid w:val="005752AF"/>
    <w:rsid w:val="00580F4A"/>
    <w:rsid w:val="00592E05"/>
    <w:rsid w:val="00597381"/>
    <w:rsid w:val="005A0319"/>
    <w:rsid w:val="005A68E7"/>
    <w:rsid w:val="005B1C46"/>
    <w:rsid w:val="005B7BDD"/>
    <w:rsid w:val="005C3254"/>
    <w:rsid w:val="005C3F2C"/>
    <w:rsid w:val="005C4077"/>
    <w:rsid w:val="005C7ABB"/>
    <w:rsid w:val="005D4A2C"/>
    <w:rsid w:val="005E6B1B"/>
    <w:rsid w:val="005E7092"/>
    <w:rsid w:val="005F28B6"/>
    <w:rsid w:val="005F5FBC"/>
    <w:rsid w:val="00603A7E"/>
    <w:rsid w:val="00606AE7"/>
    <w:rsid w:val="006101A0"/>
    <w:rsid w:val="00610A0A"/>
    <w:rsid w:val="00611961"/>
    <w:rsid w:val="0061328E"/>
    <w:rsid w:val="006176BC"/>
    <w:rsid w:val="006269FF"/>
    <w:rsid w:val="00627F53"/>
    <w:rsid w:val="0063142D"/>
    <w:rsid w:val="00633950"/>
    <w:rsid w:val="006360F1"/>
    <w:rsid w:val="00636FA3"/>
    <w:rsid w:val="006440F8"/>
    <w:rsid w:val="00644925"/>
    <w:rsid w:val="0065369F"/>
    <w:rsid w:val="00654609"/>
    <w:rsid w:val="00654CB7"/>
    <w:rsid w:val="006550DE"/>
    <w:rsid w:val="006567EE"/>
    <w:rsid w:val="006578F8"/>
    <w:rsid w:val="00664DF6"/>
    <w:rsid w:val="00665560"/>
    <w:rsid w:val="006662E6"/>
    <w:rsid w:val="00667839"/>
    <w:rsid w:val="00667AFF"/>
    <w:rsid w:val="00667DF0"/>
    <w:rsid w:val="0067110A"/>
    <w:rsid w:val="006732D6"/>
    <w:rsid w:val="00684427"/>
    <w:rsid w:val="0068759E"/>
    <w:rsid w:val="006916B3"/>
    <w:rsid w:val="00696D13"/>
    <w:rsid w:val="00697C2C"/>
    <w:rsid w:val="006A16C9"/>
    <w:rsid w:val="006A5BD6"/>
    <w:rsid w:val="006A622F"/>
    <w:rsid w:val="006B12BA"/>
    <w:rsid w:val="006B5098"/>
    <w:rsid w:val="006B589F"/>
    <w:rsid w:val="006C00A0"/>
    <w:rsid w:val="006D0AD3"/>
    <w:rsid w:val="006D4FDE"/>
    <w:rsid w:val="006D7064"/>
    <w:rsid w:val="006E2566"/>
    <w:rsid w:val="006E3FF7"/>
    <w:rsid w:val="006E4A95"/>
    <w:rsid w:val="006E50C6"/>
    <w:rsid w:val="006F3341"/>
    <w:rsid w:val="00700A1A"/>
    <w:rsid w:val="00705E4B"/>
    <w:rsid w:val="00706976"/>
    <w:rsid w:val="00717795"/>
    <w:rsid w:val="00720D4D"/>
    <w:rsid w:val="00723F80"/>
    <w:rsid w:val="007241B1"/>
    <w:rsid w:val="00724D46"/>
    <w:rsid w:val="00726C73"/>
    <w:rsid w:val="007279FB"/>
    <w:rsid w:val="0073142D"/>
    <w:rsid w:val="007327D6"/>
    <w:rsid w:val="00744CBE"/>
    <w:rsid w:val="007503D6"/>
    <w:rsid w:val="0075420E"/>
    <w:rsid w:val="00754F2D"/>
    <w:rsid w:val="00755EE7"/>
    <w:rsid w:val="00761ADC"/>
    <w:rsid w:val="00763DC6"/>
    <w:rsid w:val="00770E68"/>
    <w:rsid w:val="0077489D"/>
    <w:rsid w:val="0077638D"/>
    <w:rsid w:val="007777F7"/>
    <w:rsid w:val="00782981"/>
    <w:rsid w:val="00783167"/>
    <w:rsid w:val="00785640"/>
    <w:rsid w:val="00786BEF"/>
    <w:rsid w:val="007905CA"/>
    <w:rsid w:val="007A098A"/>
    <w:rsid w:val="007A1BA7"/>
    <w:rsid w:val="007A21D5"/>
    <w:rsid w:val="007A3531"/>
    <w:rsid w:val="007A5060"/>
    <w:rsid w:val="007B26CE"/>
    <w:rsid w:val="007B6747"/>
    <w:rsid w:val="007C3A32"/>
    <w:rsid w:val="007C4EC8"/>
    <w:rsid w:val="007C6554"/>
    <w:rsid w:val="007C6984"/>
    <w:rsid w:val="007D0C23"/>
    <w:rsid w:val="007D1AA7"/>
    <w:rsid w:val="007D44D9"/>
    <w:rsid w:val="007D51C1"/>
    <w:rsid w:val="007F2D88"/>
    <w:rsid w:val="008017FB"/>
    <w:rsid w:val="00802371"/>
    <w:rsid w:val="0080494A"/>
    <w:rsid w:val="008115B2"/>
    <w:rsid w:val="00811A7B"/>
    <w:rsid w:val="00811ACF"/>
    <w:rsid w:val="00814D8E"/>
    <w:rsid w:val="008309DE"/>
    <w:rsid w:val="00832994"/>
    <w:rsid w:val="00836ED3"/>
    <w:rsid w:val="00837107"/>
    <w:rsid w:val="008552D0"/>
    <w:rsid w:val="00855E87"/>
    <w:rsid w:val="008567E7"/>
    <w:rsid w:val="008578BE"/>
    <w:rsid w:val="00865E03"/>
    <w:rsid w:val="008721A8"/>
    <w:rsid w:val="00872309"/>
    <w:rsid w:val="008730CA"/>
    <w:rsid w:val="00873764"/>
    <w:rsid w:val="00876B41"/>
    <w:rsid w:val="00877BCD"/>
    <w:rsid w:val="00877F90"/>
    <w:rsid w:val="008802D9"/>
    <w:rsid w:val="008A3181"/>
    <w:rsid w:val="008B25B5"/>
    <w:rsid w:val="008B2C35"/>
    <w:rsid w:val="008B4C79"/>
    <w:rsid w:val="008C1C6E"/>
    <w:rsid w:val="008D0417"/>
    <w:rsid w:val="008D6C9F"/>
    <w:rsid w:val="008D7CA1"/>
    <w:rsid w:val="008E08B6"/>
    <w:rsid w:val="008E0EF4"/>
    <w:rsid w:val="008E4D12"/>
    <w:rsid w:val="008F063E"/>
    <w:rsid w:val="008F43EE"/>
    <w:rsid w:val="008F477A"/>
    <w:rsid w:val="008F56E8"/>
    <w:rsid w:val="008F68F4"/>
    <w:rsid w:val="00913D70"/>
    <w:rsid w:val="00914AD6"/>
    <w:rsid w:val="0092058C"/>
    <w:rsid w:val="0092318C"/>
    <w:rsid w:val="0092381C"/>
    <w:rsid w:val="00923FC5"/>
    <w:rsid w:val="00923FC6"/>
    <w:rsid w:val="00927C4E"/>
    <w:rsid w:val="0093022C"/>
    <w:rsid w:val="009336B4"/>
    <w:rsid w:val="00934ECF"/>
    <w:rsid w:val="00944F60"/>
    <w:rsid w:val="00946852"/>
    <w:rsid w:val="00950038"/>
    <w:rsid w:val="009502F2"/>
    <w:rsid w:val="00951EC4"/>
    <w:rsid w:val="00953291"/>
    <w:rsid w:val="00954370"/>
    <w:rsid w:val="00956226"/>
    <w:rsid w:val="00957035"/>
    <w:rsid w:val="009620C4"/>
    <w:rsid w:val="009710F8"/>
    <w:rsid w:val="00981C99"/>
    <w:rsid w:val="00986624"/>
    <w:rsid w:val="00997638"/>
    <w:rsid w:val="00997B91"/>
    <w:rsid w:val="009A616F"/>
    <w:rsid w:val="009A6E18"/>
    <w:rsid w:val="009A7951"/>
    <w:rsid w:val="009B7B12"/>
    <w:rsid w:val="009C0741"/>
    <w:rsid w:val="009C0E58"/>
    <w:rsid w:val="009D2C34"/>
    <w:rsid w:val="009D356B"/>
    <w:rsid w:val="009F14EA"/>
    <w:rsid w:val="009F535C"/>
    <w:rsid w:val="00A03018"/>
    <w:rsid w:val="00A037F7"/>
    <w:rsid w:val="00A062E7"/>
    <w:rsid w:val="00A06965"/>
    <w:rsid w:val="00A12073"/>
    <w:rsid w:val="00A13727"/>
    <w:rsid w:val="00A1621F"/>
    <w:rsid w:val="00A27177"/>
    <w:rsid w:val="00A27F88"/>
    <w:rsid w:val="00A30548"/>
    <w:rsid w:val="00A35122"/>
    <w:rsid w:val="00A402E2"/>
    <w:rsid w:val="00A413E9"/>
    <w:rsid w:val="00A428F0"/>
    <w:rsid w:val="00A4335E"/>
    <w:rsid w:val="00A471FE"/>
    <w:rsid w:val="00A51217"/>
    <w:rsid w:val="00A54FCE"/>
    <w:rsid w:val="00A61F8E"/>
    <w:rsid w:val="00A65E0D"/>
    <w:rsid w:val="00A71F36"/>
    <w:rsid w:val="00A74916"/>
    <w:rsid w:val="00A76A59"/>
    <w:rsid w:val="00A776F7"/>
    <w:rsid w:val="00A856C3"/>
    <w:rsid w:val="00A86333"/>
    <w:rsid w:val="00A9038F"/>
    <w:rsid w:val="00A92900"/>
    <w:rsid w:val="00A96E41"/>
    <w:rsid w:val="00A974E8"/>
    <w:rsid w:val="00AA5C69"/>
    <w:rsid w:val="00AA7040"/>
    <w:rsid w:val="00AB7934"/>
    <w:rsid w:val="00AC256F"/>
    <w:rsid w:val="00AC3EEB"/>
    <w:rsid w:val="00AD05C4"/>
    <w:rsid w:val="00AD15B7"/>
    <w:rsid w:val="00AD4326"/>
    <w:rsid w:val="00AE21F9"/>
    <w:rsid w:val="00AF7038"/>
    <w:rsid w:val="00B0015A"/>
    <w:rsid w:val="00B0262E"/>
    <w:rsid w:val="00B07BBA"/>
    <w:rsid w:val="00B105E3"/>
    <w:rsid w:val="00B10883"/>
    <w:rsid w:val="00B1269E"/>
    <w:rsid w:val="00B13746"/>
    <w:rsid w:val="00B24E4A"/>
    <w:rsid w:val="00B26067"/>
    <w:rsid w:val="00B305E6"/>
    <w:rsid w:val="00B30949"/>
    <w:rsid w:val="00B371B2"/>
    <w:rsid w:val="00B44F72"/>
    <w:rsid w:val="00B45CEE"/>
    <w:rsid w:val="00B502F3"/>
    <w:rsid w:val="00B51BEF"/>
    <w:rsid w:val="00B5411A"/>
    <w:rsid w:val="00B5482C"/>
    <w:rsid w:val="00B65062"/>
    <w:rsid w:val="00B65B6D"/>
    <w:rsid w:val="00B673FD"/>
    <w:rsid w:val="00B770F6"/>
    <w:rsid w:val="00B83A23"/>
    <w:rsid w:val="00B901F1"/>
    <w:rsid w:val="00B91378"/>
    <w:rsid w:val="00B96A32"/>
    <w:rsid w:val="00B972F6"/>
    <w:rsid w:val="00BA2A39"/>
    <w:rsid w:val="00BA4D39"/>
    <w:rsid w:val="00BA704B"/>
    <w:rsid w:val="00BB128C"/>
    <w:rsid w:val="00BC2A9F"/>
    <w:rsid w:val="00BC2C2E"/>
    <w:rsid w:val="00BC612D"/>
    <w:rsid w:val="00BD07E0"/>
    <w:rsid w:val="00BD7302"/>
    <w:rsid w:val="00BF4FA4"/>
    <w:rsid w:val="00C02CDC"/>
    <w:rsid w:val="00C02E22"/>
    <w:rsid w:val="00C061C4"/>
    <w:rsid w:val="00C14A58"/>
    <w:rsid w:val="00C15FBD"/>
    <w:rsid w:val="00C17E9E"/>
    <w:rsid w:val="00C25846"/>
    <w:rsid w:val="00C26B92"/>
    <w:rsid w:val="00C26DC2"/>
    <w:rsid w:val="00C37AFF"/>
    <w:rsid w:val="00C40670"/>
    <w:rsid w:val="00C40BBC"/>
    <w:rsid w:val="00C411C7"/>
    <w:rsid w:val="00C472B6"/>
    <w:rsid w:val="00C5778E"/>
    <w:rsid w:val="00C57F1C"/>
    <w:rsid w:val="00C61D31"/>
    <w:rsid w:val="00C66369"/>
    <w:rsid w:val="00C67B77"/>
    <w:rsid w:val="00C73356"/>
    <w:rsid w:val="00C74390"/>
    <w:rsid w:val="00C77268"/>
    <w:rsid w:val="00C82259"/>
    <w:rsid w:val="00C82F6B"/>
    <w:rsid w:val="00C91555"/>
    <w:rsid w:val="00C916AA"/>
    <w:rsid w:val="00C92179"/>
    <w:rsid w:val="00C9410F"/>
    <w:rsid w:val="00C95DDF"/>
    <w:rsid w:val="00C978C9"/>
    <w:rsid w:val="00CA0805"/>
    <w:rsid w:val="00CA2929"/>
    <w:rsid w:val="00CA2D7B"/>
    <w:rsid w:val="00CA5050"/>
    <w:rsid w:val="00CB5616"/>
    <w:rsid w:val="00CC0014"/>
    <w:rsid w:val="00CD0ECF"/>
    <w:rsid w:val="00CD12CD"/>
    <w:rsid w:val="00CD1843"/>
    <w:rsid w:val="00CD73FB"/>
    <w:rsid w:val="00CE35E7"/>
    <w:rsid w:val="00CF0B53"/>
    <w:rsid w:val="00CF40ED"/>
    <w:rsid w:val="00CF6360"/>
    <w:rsid w:val="00CF77ED"/>
    <w:rsid w:val="00D0130C"/>
    <w:rsid w:val="00D048DD"/>
    <w:rsid w:val="00D1035B"/>
    <w:rsid w:val="00D15D83"/>
    <w:rsid w:val="00D170BC"/>
    <w:rsid w:val="00D25C5F"/>
    <w:rsid w:val="00D26E7F"/>
    <w:rsid w:val="00D302BF"/>
    <w:rsid w:val="00D40E88"/>
    <w:rsid w:val="00D46EE0"/>
    <w:rsid w:val="00D50979"/>
    <w:rsid w:val="00D519D6"/>
    <w:rsid w:val="00D52B88"/>
    <w:rsid w:val="00D52CCC"/>
    <w:rsid w:val="00D530D9"/>
    <w:rsid w:val="00D77FC1"/>
    <w:rsid w:val="00D837D7"/>
    <w:rsid w:val="00D839B0"/>
    <w:rsid w:val="00D86ED2"/>
    <w:rsid w:val="00D91D0C"/>
    <w:rsid w:val="00D95F70"/>
    <w:rsid w:val="00D966DA"/>
    <w:rsid w:val="00DA2E20"/>
    <w:rsid w:val="00DA6831"/>
    <w:rsid w:val="00DA77D2"/>
    <w:rsid w:val="00DB6570"/>
    <w:rsid w:val="00DC04D6"/>
    <w:rsid w:val="00DC0950"/>
    <w:rsid w:val="00DC4645"/>
    <w:rsid w:val="00DC5DE7"/>
    <w:rsid w:val="00DC688D"/>
    <w:rsid w:val="00DD2221"/>
    <w:rsid w:val="00DD4FF4"/>
    <w:rsid w:val="00DD60B8"/>
    <w:rsid w:val="00DE06E3"/>
    <w:rsid w:val="00DE0707"/>
    <w:rsid w:val="00DE4779"/>
    <w:rsid w:val="00DE50B1"/>
    <w:rsid w:val="00DF083E"/>
    <w:rsid w:val="00DF4449"/>
    <w:rsid w:val="00E05DAC"/>
    <w:rsid w:val="00E076F5"/>
    <w:rsid w:val="00E1461A"/>
    <w:rsid w:val="00E17E50"/>
    <w:rsid w:val="00E32A48"/>
    <w:rsid w:val="00E51E33"/>
    <w:rsid w:val="00E5748E"/>
    <w:rsid w:val="00E64830"/>
    <w:rsid w:val="00E65CE4"/>
    <w:rsid w:val="00E6696F"/>
    <w:rsid w:val="00E675F9"/>
    <w:rsid w:val="00E70AD6"/>
    <w:rsid w:val="00E70CA4"/>
    <w:rsid w:val="00E70F26"/>
    <w:rsid w:val="00E71438"/>
    <w:rsid w:val="00E86C79"/>
    <w:rsid w:val="00E9103D"/>
    <w:rsid w:val="00E91126"/>
    <w:rsid w:val="00E924CA"/>
    <w:rsid w:val="00E977FF"/>
    <w:rsid w:val="00EA7DFB"/>
    <w:rsid w:val="00EB03DD"/>
    <w:rsid w:val="00EB0EC1"/>
    <w:rsid w:val="00EB76EA"/>
    <w:rsid w:val="00EC014A"/>
    <w:rsid w:val="00EC19AC"/>
    <w:rsid w:val="00EC1F51"/>
    <w:rsid w:val="00ED16AB"/>
    <w:rsid w:val="00ED23C7"/>
    <w:rsid w:val="00ED4783"/>
    <w:rsid w:val="00ED599D"/>
    <w:rsid w:val="00EE3387"/>
    <w:rsid w:val="00EE4871"/>
    <w:rsid w:val="00EE7719"/>
    <w:rsid w:val="00EF1FFF"/>
    <w:rsid w:val="00EF455D"/>
    <w:rsid w:val="00F04631"/>
    <w:rsid w:val="00F136EB"/>
    <w:rsid w:val="00F1402E"/>
    <w:rsid w:val="00F22479"/>
    <w:rsid w:val="00F23A63"/>
    <w:rsid w:val="00F25953"/>
    <w:rsid w:val="00F331A8"/>
    <w:rsid w:val="00F3699D"/>
    <w:rsid w:val="00F42F8E"/>
    <w:rsid w:val="00F432E5"/>
    <w:rsid w:val="00F44053"/>
    <w:rsid w:val="00F5057B"/>
    <w:rsid w:val="00F5082D"/>
    <w:rsid w:val="00F53621"/>
    <w:rsid w:val="00F64E37"/>
    <w:rsid w:val="00F745E9"/>
    <w:rsid w:val="00F86D84"/>
    <w:rsid w:val="00F90030"/>
    <w:rsid w:val="00F9532F"/>
    <w:rsid w:val="00FB0E6E"/>
    <w:rsid w:val="00FB41A4"/>
    <w:rsid w:val="00FC202F"/>
    <w:rsid w:val="00FC3CA1"/>
    <w:rsid w:val="00FD2F99"/>
    <w:rsid w:val="00FD4AE5"/>
    <w:rsid w:val="00FE0D80"/>
    <w:rsid w:val="00FE12CD"/>
    <w:rsid w:val="00FE7295"/>
    <w:rsid w:val="00FF18B1"/>
    <w:rsid w:val="00FF68F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A25EB"/>
  <w15:chartTrackingRefBased/>
  <w15:docId w15:val="{8F8AA668-CCC8-452C-BB8F-14517966D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A32"/>
    <w:pPr>
      <w:spacing w:line="259" w:lineRule="auto"/>
    </w:pPr>
    <w:rPr>
      <w:sz w:val="22"/>
      <w:szCs w:val="22"/>
    </w:rPr>
  </w:style>
  <w:style w:type="paragraph" w:styleId="Heading1">
    <w:name w:val="heading 1"/>
    <w:basedOn w:val="Normal"/>
    <w:next w:val="Normal"/>
    <w:link w:val="Heading1Char"/>
    <w:uiPriority w:val="9"/>
    <w:qFormat/>
    <w:rsid w:val="00B96A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A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A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A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A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A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A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A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A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A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A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A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A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A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A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A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A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A32"/>
    <w:rPr>
      <w:rFonts w:eastAsiaTheme="majorEastAsia" w:cstheme="majorBidi"/>
      <w:color w:val="272727" w:themeColor="text1" w:themeTint="D8"/>
    </w:rPr>
  </w:style>
  <w:style w:type="paragraph" w:styleId="Title">
    <w:name w:val="Title"/>
    <w:basedOn w:val="Normal"/>
    <w:next w:val="Normal"/>
    <w:link w:val="TitleChar"/>
    <w:uiPriority w:val="10"/>
    <w:qFormat/>
    <w:rsid w:val="00B96A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A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A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A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A32"/>
    <w:pPr>
      <w:spacing w:before="160"/>
      <w:jc w:val="center"/>
    </w:pPr>
    <w:rPr>
      <w:i/>
      <w:iCs/>
      <w:color w:val="404040" w:themeColor="text1" w:themeTint="BF"/>
    </w:rPr>
  </w:style>
  <w:style w:type="character" w:customStyle="1" w:styleId="QuoteChar">
    <w:name w:val="Quote Char"/>
    <w:basedOn w:val="DefaultParagraphFont"/>
    <w:link w:val="Quote"/>
    <w:uiPriority w:val="29"/>
    <w:rsid w:val="00B96A32"/>
    <w:rPr>
      <w:i/>
      <w:iCs/>
      <w:color w:val="404040" w:themeColor="text1" w:themeTint="BF"/>
    </w:rPr>
  </w:style>
  <w:style w:type="paragraph" w:styleId="ListParagraph">
    <w:name w:val="List Paragraph"/>
    <w:aliases w:val="Resume Title,- Bullets,List Paragraph1,Recommendation,bullet point list,List Paragraph11,Bullet List,FooterText,numbered,Paragraphe de liste1,Bulletr List Paragraph,列出段落,Parágrafo da Lista1,リスト段落1,Colorful List - Accent 11,????,????1,Ref"/>
    <w:basedOn w:val="Normal"/>
    <w:link w:val="ListParagraphChar"/>
    <w:uiPriority w:val="34"/>
    <w:qFormat/>
    <w:rsid w:val="00B96A32"/>
    <w:pPr>
      <w:ind w:left="720"/>
      <w:contextualSpacing/>
    </w:pPr>
  </w:style>
  <w:style w:type="character" w:styleId="IntenseEmphasis">
    <w:name w:val="Intense Emphasis"/>
    <w:basedOn w:val="DefaultParagraphFont"/>
    <w:uiPriority w:val="21"/>
    <w:qFormat/>
    <w:rsid w:val="00B96A32"/>
    <w:rPr>
      <w:i/>
      <w:iCs/>
      <w:color w:val="0F4761" w:themeColor="accent1" w:themeShade="BF"/>
    </w:rPr>
  </w:style>
  <w:style w:type="paragraph" w:styleId="IntenseQuote">
    <w:name w:val="Intense Quote"/>
    <w:basedOn w:val="Normal"/>
    <w:next w:val="Normal"/>
    <w:link w:val="IntenseQuoteChar"/>
    <w:uiPriority w:val="30"/>
    <w:qFormat/>
    <w:rsid w:val="00B96A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A32"/>
    <w:rPr>
      <w:i/>
      <w:iCs/>
      <w:color w:val="0F4761" w:themeColor="accent1" w:themeShade="BF"/>
    </w:rPr>
  </w:style>
  <w:style w:type="character" w:styleId="IntenseReference">
    <w:name w:val="Intense Reference"/>
    <w:basedOn w:val="DefaultParagraphFont"/>
    <w:uiPriority w:val="32"/>
    <w:qFormat/>
    <w:rsid w:val="00B96A32"/>
    <w:rPr>
      <w:b/>
      <w:bCs/>
      <w:smallCaps/>
      <w:color w:val="0F4761" w:themeColor="accent1" w:themeShade="BF"/>
      <w:spacing w:val="5"/>
    </w:rPr>
  </w:style>
  <w:style w:type="character" w:customStyle="1" w:styleId="ListParagraphChar">
    <w:name w:val="List Paragraph Char"/>
    <w:aliases w:val="Resume Title Char,- Bullets Char,List Paragraph1 Char,Recommendation Char,bullet point list Char,List Paragraph11 Char,Bullet List Char,FooterText Char,numbered Char,Paragraphe de liste1 Char,Bulletr List Paragraph Char,列出段落 Char"/>
    <w:link w:val="ListParagraph"/>
    <w:uiPriority w:val="34"/>
    <w:qFormat/>
    <w:locked/>
    <w:rsid w:val="00B96A32"/>
  </w:style>
  <w:style w:type="character" w:customStyle="1" w:styleId="normaltextrun">
    <w:name w:val="normaltextrun"/>
    <w:basedOn w:val="DefaultParagraphFont"/>
    <w:rsid w:val="003C568F"/>
  </w:style>
  <w:style w:type="paragraph" w:customStyle="1" w:styleId="Default">
    <w:name w:val="Default"/>
    <w:rsid w:val="005C3F2C"/>
    <w:pPr>
      <w:autoSpaceDE w:val="0"/>
      <w:autoSpaceDN w:val="0"/>
      <w:adjustRightInd w:val="0"/>
      <w:spacing w:after="0" w:line="240" w:lineRule="auto"/>
    </w:pPr>
    <w:rPr>
      <w:rFonts w:ascii="Bookman Old Style" w:hAnsi="Bookman Old Style" w:cs="Bookman Old Style"/>
      <w:color w:val="000000"/>
      <w:kern w:val="0"/>
    </w:rPr>
  </w:style>
  <w:style w:type="paragraph" w:styleId="NormalWeb">
    <w:name w:val="Normal (Web)"/>
    <w:basedOn w:val="Normal"/>
    <w:uiPriority w:val="99"/>
    <w:unhideWhenUsed/>
    <w:rsid w:val="00CA2D7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FootnoteText">
    <w:name w:val="footnote text"/>
    <w:basedOn w:val="Normal"/>
    <w:link w:val="FootnoteTextChar"/>
    <w:uiPriority w:val="99"/>
    <w:semiHidden/>
    <w:unhideWhenUsed/>
    <w:rsid w:val="00415A9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15A94"/>
    <w:rPr>
      <w:sz w:val="20"/>
      <w:szCs w:val="20"/>
    </w:rPr>
  </w:style>
  <w:style w:type="character" w:styleId="FootnoteReference">
    <w:name w:val="footnote reference"/>
    <w:basedOn w:val="DefaultParagraphFont"/>
    <w:uiPriority w:val="99"/>
    <w:semiHidden/>
    <w:unhideWhenUsed/>
    <w:rsid w:val="00415A94"/>
    <w:rPr>
      <w:vertAlign w:val="superscript"/>
    </w:rPr>
  </w:style>
  <w:style w:type="character" w:styleId="Hyperlink">
    <w:name w:val="Hyperlink"/>
    <w:basedOn w:val="DefaultParagraphFont"/>
    <w:uiPriority w:val="99"/>
    <w:unhideWhenUsed/>
    <w:rsid w:val="00415A94"/>
    <w:rPr>
      <w:color w:val="467886" w:themeColor="hyperlink"/>
      <w:u w:val="single"/>
    </w:rPr>
  </w:style>
  <w:style w:type="character" w:styleId="UnresolvedMention">
    <w:name w:val="Unresolved Mention"/>
    <w:basedOn w:val="DefaultParagraphFont"/>
    <w:uiPriority w:val="99"/>
    <w:semiHidden/>
    <w:unhideWhenUsed/>
    <w:rsid w:val="00415A94"/>
    <w:rPr>
      <w:color w:val="605E5C"/>
      <w:shd w:val="clear" w:color="auto" w:fill="E1DFDD"/>
    </w:rPr>
  </w:style>
  <w:style w:type="paragraph" w:styleId="Header">
    <w:name w:val="header"/>
    <w:basedOn w:val="Normal"/>
    <w:link w:val="HeaderChar"/>
    <w:uiPriority w:val="99"/>
    <w:unhideWhenUsed/>
    <w:rsid w:val="00C061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61C4"/>
    <w:rPr>
      <w:sz w:val="22"/>
      <w:szCs w:val="22"/>
    </w:rPr>
  </w:style>
  <w:style w:type="paragraph" w:styleId="Footer">
    <w:name w:val="footer"/>
    <w:basedOn w:val="Normal"/>
    <w:link w:val="FooterChar"/>
    <w:uiPriority w:val="99"/>
    <w:unhideWhenUsed/>
    <w:rsid w:val="00C061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61C4"/>
    <w:rPr>
      <w:sz w:val="22"/>
      <w:szCs w:val="22"/>
    </w:rPr>
  </w:style>
  <w:style w:type="paragraph" w:customStyle="1" w:styleId="sc-44py6y-2">
    <w:name w:val="sc-44py6y-2"/>
    <w:basedOn w:val="Normal"/>
    <w:rsid w:val="009A795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A7951"/>
    <w:rPr>
      <w:b/>
      <w:bCs/>
    </w:rPr>
  </w:style>
  <w:style w:type="character" w:styleId="FollowedHyperlink">
    <w:name w:val="FollowedHyperlink"/>
    <w:basedOn w:val="DefaultParagraphFont"/>
    <w:uiPriority w:val="99"/>
    <w:semiHidden/>
    <w:unhideWhenUsed/>
    <w:rsid w:val="0008073D"/>
    <w:rPr>
      <w:color w:val="96607D" w:themeColor="followedHyperlink"/>
      <w:u w:val="single"/>
    </w:rPr>
  </w:style>
  <w:style w:type="paragraph" w:styleId="EndnoteText">
    <w:name w:val="endnote text"/>
    <w:basedOn w:val="Normal"/>
    <w:link w:val="EndnoteTextChar"/>
    <w:uiPriority w:val="99"/>
    <w:semiHidden/>
    <w:unhideWhenUsed/>
    <w:rsid w:val="0061328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1328E"/>
    <w:rPr>
      <w:sz w:val="20"/>
      <w:szCs w:val="20"/>
    </w:rPr>
  </w:style>
  <w:style w:type="character" w:styleId="EndnoteReference">
    <w:name w:val="endnote reference"/>
    <w:basedOn w:val="DefaultParagraphFont"/>
    <w:uiPriority w:val="99"/>
    <w:semiHidden/>
    <w:unhideWhenUsed/>
    <w:rsid w:val="0061328E"/>
    <w:rPr>
      <w:vertAlign w:val="superscript"/>
    </w:rPr>
  </w:style>
  <w:style w:type="paragraph" w:styleId="NoSpacing">
    <w:name w:val="No Spacing"/>
    <w:uiPriority w:val="1"/>
    <w:qFormat/>
    <w:rsid w:val="0092318C"/>
    <w:pPr>
      <w:spacing w:after="0" w:line="240" w:lineRule="auto"/>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6489">
      <w:bodyDiv w:val="1"/>
      <w:marLeft w:val="0"/>
      <w:marRight w:val="0"/>
      <w:marTop w:val="0"/>
      <w:marBottom w:val="0"/>
      <w:divBdr>
        <w:top w:val="none" w:sz="0" w:space="0" w:color="auto"/>
        <w:left w:val="none" w:sz="0" w:space="0" w:color="auto"/>
        <w:bottom w:val="none" w:sz="0" w:space="0" w:color="auto"/>
        <w:right w:val="none" w:sz="0" w:space="0" w:color="auto"/>
      </w:divBdr>
    </w:div>
    <w:div w:id="90316746">
      <w:bodyDiv w:val="1"/>
      <w:marLeft w:val="0"/>
      <w:marRight w:val="0"/>
      <w:marTop w:val="0"/>
      <w:marBottom w:val="0"/>
      <w:divBdr>
        <w:top w:val="none" w:sz="0" w:space="0" w:color="auto"/>
        <w:left w:val="none" w:sz="0" w:space="0" w:color="auto"/>
        <w:bottom w:val="none" w:sz="0" w:space="0" w:color="auto"/>
        <w:right w:val="none" w:sz="0" w:space="0" w:color="auto"/>
      </w:divBdr>
    </w:div>
    <w:div w:id="373386185">
      <w:bodyDiv w:val="1"/>
      <w:marLeft w:val="0"/>
      <w:marRight w:val="0"/>
      <w:marTop w:val="0"/>
      <w:marBottom w:val="0"/>
      <w:divBdr>
        <w:top w:val="none" w:sz="0" w:space="0" w:color="auto"/>
        <w:left w:val="none" w:sz="0" w:space="0" w:color="auto"/>
        <w:bottom w:val="none" w:sz="0" w:space="0" w:color="auto"/>
        <w:right w:val="none" w:sz="0" w:space="0" w:color="auto"/>
      </w:divBdr>
    </w:div>
    <w:div w:id="767427175">
      <w:bodyDiv w:val="1"/>
      <w:marLeft w:val="0"/>
      <w:marRight w:val="0"/>
      <w:marTop w:val="0"/>
      <w:marBottom w:val="0"/>
      <w:divBdr>
        <w:top w:val="none" w:sz="0" w:space="0" w:color="auto"/>
        <w:left w:val="none" w:sz="0" w:space="0" w:color="auto"/>
        <w:bottom w:val="none" w:sz="0" w:space="0" w:color="auto"/>
        <w:right w:val="none" w:sz="0" w:space="0" w:color="auto"/>
      </w:divBdr>
    </w:div>
    <w:div w:id="956761942">
      <w:bodyDiv w:val="1"/>
      <w:marLeft w:val="0"/>
      <w:marRight w:val="0"/>
      <w:marTop w:val="0"/>
      <w:marBottom w:val="0"/>
      <w:divBdr>
        <w:top w:val="none" w:sz="0" w:space="0" w:color="auto"/>
        <w:left w:val="none" w:sz="0" w:space="0" w:color="auto"/>
        <w:bottom w:val="none" w:sz="0" w:space="0" w:color="auto"/>
        <w:right w:val="none" w:sz="0" w:space="0" w:color="auto"/>
      </w:divBdr>
    </w:div>
    <w:div w:id="961349498">
      <w:bodyDiv w:val="1"/>
      <w:marLeft w:val="0"/>
      <w:marRight w:val="0"/>
      <w:marTop w:val="0"/>
      <w:marBottom w:val="0"/>
      <w:divBdr>
        <w:top w:val="none" w:sz="0" w:space="0" w:color="auto"/>
        <w:left w:val="none" w:sz="0" w:space="0" w:color="auto"/>
        <w:bottom w:val="none" w:sz="0" w:space="0" w:color="auto"/>
        <w:right w:val="none" w:sz="0" w:space="0" w:color="auto"/>
      </w:divBdr>
    </w:div>
    <w:div w:id="1282497710">
      <w:bodyDiv w:val="1"/>
      <w:marLeft w:val="0"/>
      <w:marRight w:val="0"/>
      <w:marTop w:val="0"/>
      <w:marBottom w:val="0"/>
      <w:divBdr>
        <w:top w:val="none" w:sz="0" w:space="0" w:color="auto"/>
        <w:left w:val="none" w:sz="0" w:space="0" w:color="auto"/>
        <w:bottom w:val="none" w:sz="0" w:space="0" w:color="auto"/>
        <w:right w:val="none" w:sz="0" w:space="0" w:color="auto"/>
      </w:divBdr>
    </w:div>
    <w:div w:id="1369178517">
      <w:bodyDiv w:val="1"/>
      <w:marLeft w:val="0"/>
      <w:marRight w:val="0"/>
      <w:marTop w:val="0"/>
      <w:marBottom w:val="0"/>
      <w:divBdr>
        <w:top w:val="none" w:sz="0" w:space="0" w:color="auto"/>
        <w:left w:val="none" w:sz="0" w:space="0" w:color="auto"/>
        <w:bottom w:val="none" w:sz="0" w:space="0" w:color="auto"/>
        <w:right w:val="none" w:sz="0" w:space="0" w:color="auto"/>
      </w:divBdr>
    </w:div>
    <w:div w:id="1434739440">
      <w:bodyDiv w:val="1"/>
      <w:marLeft w:val="0"/>
      <w:marRight w:val="0"/>
      <w:marTop w:val="0"/>
      <w:marBottom w:val="0"/>
      <w:divBdr>
        <w:top w:val="none" w:sz="0" w:space="0" w:color="auto"/>
        <w:left w:val="none" w:sz="0" w:space="0" w:color="auto"/>
        <w:bottom w:val="none" w:sz="0" w:space="0" w:color="auto"/>
        <w:right w:val="none" w:sz="0" w:space="0" w:color="auto"/>
      </w:divBdr>
    </w:div>
    <w:div w:id="1544755725">
      <w:bodyDiv w:val="1"/>
      <w:marLeft w:val="0"/>
      <w:marRight w:val="0"/>
      <w:marTop w:val="0"/>
      <w:marBottom w:val="0"/>
      <w:divBdr>
        <w:top w:val="none" w:sz="0" w:space="0" w:color="auto"/>
        <w:left w:val="none" w:sz="0" w:space="0" w:color="auto"/>
        <w:bottom w:val="none" w:sz="0" w:space="0" w:color="auto"/>
        <w:right w:val="none" w:sz="0" w:space="0" w:color="auto"/>
      </w:divBdr>
    </w:div>
    <w:div w:id="1941598438">
      <w:bodyDiv w:val="1"/>
      <w:marLeft w:val="0"/>
      <w:marRight w:val="0"/>
      <w:marTop w:val="0"/>
      <w:marBottom w:val="0"/>
      <w:divBdr>
        <w:top w:val="none" w:sz="0" w:space="0" w:color="auto"/>
        <w:left w:val="none" w:sz="0" w:space="0" w:color="auto"/>
        <w:bottom w:val="none" w:sz="0" w:space="0" w:color="auto"/>
        <w:right w:val="none" w:sz="0" w:space="0" w:color="auto"/>
      </w:divBdr>
    </w:div>
    <w:div w:id="2048480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www.futuremarketinsights.com/reports/submarine-cables-mark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8A012BFCD902488817B3FB6700E7B1" ma:contentTypeVersion="18" ma:contentTypeDescription="Create a new document." ma:contentTypeScope="" ma:versionID="6b31f5d28b0032e816e0ec97803300cc">
  <xsd:schema xmlns:xsd="http://www.w3.org/2001/XMLSchema" xmlns:xs="http://www.w3.org/2001/XMLSchema" xmlns:p="http://schemas.microsoft.com/office/2006/metadata/properties" xmlns:ns3="e31c5ac8-f67f-40ec-a8e5-7d37da27dfe4" xmlns:ns4="2748c843-4656-4ff0-a7af-aabd389f1592" targetNamespace="http://schemas.microsoft.com/office/2006/metadata/properties" ma:root="true" ma:fieldsID="f483e2332cc109654074f46897a0dcde" ns3:_="" ns4:_="">
    <xsd:import namespace="e31c5ac8-f67f-40ec-a8e5-7d37da27dfe4"/>
    <xsd:import namespace="2748c843-4656-4ff0-a7af-aabd389f159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1c5ac8-f67f-40ec-a8e5-7d37da27df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48c843-4656-4ff0-a7af-aabd389f1592"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31c5ac8-f67f-40ec-a8e5-7d37da27dfe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FDDB28-46A0-46E7-AB2B-AACE31BDF8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1c5ac8-f67f-40ec-a8e5-7d37da27dfe4"/>
    <ds:schemaRef ds:uri="2748c843-4656-4ff0-a7af-aabd389f15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21527F-00A2-470F-B3B5-C90FA53E70BA}">
  <ds:schemaRefs>
    <ds:schemaRef ds:uri="http://schemas.microsoft.com/sharepoint/v3/contenttype/forms"/>
  </ds:schemaRefs>
</ds:datastoreItem>
</file>

<file path=customXml/itemProps3.xml><?xml version="1.0" encoding="utf-8"?>
<ds:datastoreItem xmlns:ds="http://schemas.openxmlformats.org/officeDocument/2006/customXml" ds:itemID="{6D950641-99A4-45C9-80B6-C0E5CEE6A171}">
  <ds:schemaRefs>
    <ds:schemaRef ds:uri="http://schemas.microsoft.com/office/2006/metadata/properties"/>
    <ds:schemaRef ds:uri="http://schemas.microsoft.com/office/infopath/2007/PartnerControls"/>
    <ds:schemaRef ds:uri="e31c5ac8-f67f-40ec-a8e5-7d37da27dfe4"/>
  </ds:schemaRefs>
</ds:datastoreItem>
</file>

<file path=customXml/itemProps4.xml><?xml version="1.0" encoding="utf-8"?>
<ds:datastoreItem xmlns:ds="http://schemas.openxmlformats.org/officeDocument/2006/customXml" ds:itemID="{971C3005-5EBD-43EB-99C8-DFB07CC2F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5</Pages>
  <Words>1525</Words>
  <Characters>9318</Characters>
  <Application>Microsoft Office Word</Application>
  <DocSecurity>0</DocSecurity>
  <Lines>160</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Omendra Govind</dc:creator>
  <cp:keywords/>
  <dc:description/>
  <cp:lastModifiedBy>Dharmesh Makwana</cp:lastModifiedBy>
  <cp:revision>113</cp:revision>
  <cp:lastPrinted>2025-03-24T06:27:00Z</cp:lastPrinted>
  <dcterms:created xsi:type="dcterms:W3CDTF">2026-01-23T07:07:00Z</dcterms:created>
  <dcterms:modified xsi:type="dcterms:W3CDTF">2026-01-28T05:44:00Z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0x010100148A012BFCD902488817B3FB6700E7B1</vt:lpwstr>
  </property>
  <property fmtid="{D5CDD505-2E9C-101B-9397-08002B2CF9AE}" pid="3" name="GrammarlyDocumentId">
    <vt:lpwstr>3b8a7ce8-6440-473a-87b5-05ceb9e719bf</vt:lpwstr>
  </property>
</Properties>
</file>