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199F75" w14:textId="2F532768" w:rsidR="00164270" w:rsidRPr="00B31096" w:rsidRDefault="00164270" w:rsidP="003C2E65">
      <w:pPr>
        <w:pStyle w:val="paragraph"/>
        <w:tabs>
          <w:tab w:val="left" w:pos="720"/>
          <w:tab w:val="left" w:pos="1440"/>
          <w:tab w:val="left" w:pos="2160"/>
        </w:tabs>
        <w:spacing w:after="240"/>
        <w:jc w:val="center"/>
        <w:rPr>
          <w:rFonts w:ascii="Book Antiqua" w:eastAsia="Bookman Old Style" w:hAnsi="Book Antiqua" w:cs="Tahoma"/>
          <w:b/>
          <w:bCs/>
          <w:sz w:val="26"/>
          <w:szCs w:val="26"/>
          <w:u w:val="single"/>
        </w:rPr>
      </w:pPr>
      <w:r w:rsidRPr="00B31096">
        <w:rPr>
          <w:rFonts w:ascii="Book Antiqua" w:eastAsia="Bookman Old Style" w:hAnsi="Book Antiqua" w:cs="Tahoma"/>
          <w:b/>
          <w:bCs/>
          <w:sz w:val="26"/>
          <w:szCs w:val="26"/>
          <w:u w:val="single"/>
        </w:rPr>
        <w:t>IBBI-FOIR Conference on</w:t>
      </w:r>
    </w:p>
    <w:p w14:paraId="3606FA8F" w14:textId="77777777" w:rsidR="00164270" w:rsidRPr="00B31096" w:rsidRDefault="00164270" w:rsidP="009A574D">
      <w:pPr>
        <w:pStyle w:val="paragraph"/>
        <w:tabs>
          <w:tab w:val="left" w:pos="720"/>
          <w:tab w:val="left" w:pos="1440"/>
          <w:tab w:val="left" w:pos="2160"/>
        </w:tabs>
        <w:jc w:val="center"/>
        <w:rPr>
          <w:rFonts w:ascii="Book Antiqua" w:eastAsia="Bookman Old Style" w:hAnsi="Book Antiqua" w:cs="Tahoma"/>
          <w:b/>
          <w:bCs/>
          <w:sz w:val="26"/>
          <w:szCs w:val="26"/>
          <w:u w:val="single"/>
        </w:rPr>
      </w:pPr>
      <w:r w:rsidRPr="00B31096">
        <w:rPr>
          <w:rFonts w:ascii="Book Antiqua" w:eastAsia="Bookman Old Style" w:hAnsi="Book Antiqua" w:cs="Tahoma"/>
          <w:b/>
          <w:bCs/>
          <w:sz w:val="26"/>
          <w:szCs w:val="26"/>
          <w:u w:val="single"/>
        </w:rPr>
        <w:t>“Perspective of Regulators on Regulatory Reforms”</w:t>
      </w:r>
      <w:bookmarkStart w:id="0" w:name="_GoBack"/>
      <w:bookmarkEnd w:id="0"/>
    </w:p>
    <w:p w14:paraId="05CED28B" w14:textId="77777777" w:rsidR="00164270" w:rsidRPr="00691268" w:rsidRDefault="00164270" w:rsidP="003938E1">
      <w:pPr>
        <w:pStyle w:val="paragraph"/>
        <w:tabs>
          <w:tab w:val="left" w:pos="720"/>
          <w:tab w:val="left" w:pos="1440"/>
          <w:tab w:val="left" w:pos="2160"/>
        </w:tabs>
        <w:spacing w:before="240" w:beforeAutospacing="0"/>
        <w:jc w:val="both"/>
        <w:rPr>
          <w:rFonts w:ascii="Book Antiqua" w:eastAsia="Bookman Old Style" w:hAnsi="Book Antiqua" w:cs="Tahoma"/>
        </w:rPr>
      </w:pPr>
      <w:r w:rsidRPr="00AA58D7">
        <w:rPr>
          <w:rFonts w:ascii="Book Antiqua" w:eastAsia="Bookman Old Style" w:hAnsi="Book Antiqua" w:cs="Tahoma"/>
          <w:b/>
          <w:bCs/>
        </w:rPr>
        <w:t xml:space="preserve">Regulation </w:t>
      </w:r>
      <w:r w:rsidRPr="00691268">
        <w:rPr>
          <w:rFonts w:ascii="Book Antiqua" w:eastAsia="Bookman Old Style" w:hAnsi="Book Antiqua" w:cs="Tahoma"/>
        </w:rPr>
        <w:t>plays a vital role in maintaining a well-functioning society and economy by ensuring fairness, protecting consumers and the environment, and supporting sustainable development. Through the establishment of standards and enforcement mechanisms, it helps prevent exploitation, uphold order, and reduce harmful externalities.</w:t>
      </w:r>
    </w:p>
    <w:p w14:paraId="6A6FD3D8" w14:textId="66D0C03A" w:rsidR="00164270" w:rsidRPr="00691268" w:rsidRDefault="00164270" w:rsidP="003938E1">
      <w:pPr>
        <w:pStyle w:val="paragraph"/>
        <w:tabs>
          <w:tab w:val="left" w:pos="720"/>
          <w:tab w:val="left" w:pos="1440"/>
          <w:tab w:val="left" w:pos="2160"/>
        </w:tabs>
        <w:spacing w:before="240" w:beforeAutospacing="0"/>
        <w:jc w:val="both"/>
        <w:rPr>
          <w:rFonts w:ascii="Book Antiqua" w:eastAsia="Bookman Old Style" w:hAnsi="Book Antiqua" w:cs="Tahoma"/>
        </w:rPr>
      </w:pPr>
      <w:r w:rsidRPr="00691268">
        <w:rPr>
          <w:rFonts w:ascii="Book Antiqua" w:eastAsia="Bookman Old Style" w:hAnsi="Book Antiqua" w:cs="Tahoma"/>
        </w:rPr>
        <w:t>The Economic Survey 2024–25</w:t>
      </w:r>
      <w:r w:rsidRPr="00691268">
        <w:rPr>
          <w:rFonts w:ascii="Book Antiqua" w:eastAsia="Bookman Old Style" w:hAnsi="Book Antiqua" w:cs="Tahoma"/>
          <w:vertAlign w:val="superscript"/>
        </w:rPr>
        <w:footnoteReference w:id="1"/>
      </w:r>
      <w:r w:rsidRPr="00691268">
        <w:rPr>
          <w:rFonts w:ascii="Book Antiqua" w:eastAsia="Bookman Old Style" w:hAnsi="Book Antiqua" w:cs="Tahoma"/>
        </w:rPr>
        <w:t xml:space="preserve"> underscores the pivotal role of </w:t>
      </w:r>
      <w:r w:rsidRPr="009B5552">
        <w:rPr>
          <w:rFonts w:ascii="Book Antiqua" w:eastAsia="Bookman Old Style" w:hAnsi="Book Antiqua" w:cs="Tahoma"/>
          <w:b/>
          <w:bCs/>
        </w:rPr>
        <w:t xml:space="preserve">deregulation </w:t>
      </w:r>
      <w:r w:rsidRPr="00691268">
        <w:rPr>
          <w:rFonts w:ascii="Book Antiqua" w:eastAsia="Bookman Old Style" w:hAnsi="Book Antiqua" w:cs="Tahoma"/>
        </w:rPr>
        <w:t xml:space="preserve">in catalysing India's economic growth. The Survey emphasis that </w:t>
      </w:r>
      <w:r w:rsidRPr="00691268">
        <w:rPr>
          <w:rFonts w:ascii="Book Antiqua" w:eastAsia="Bookman Old Style" w:hAnsi="Book Antiqua" w:cs="Tahoma"/>
          <w:i/>
          <w:iCs/>
        </w:rPr>
        <w:t>“lowering the cost of business through deregulation will make a significant contribution to accelerating economic growth and employment amidst unprecedented global challenges”</w:t>
      </w:r>
      <w:r w:rsidRPr="00691268">
        <w:rPr>
          <w:rFonts w:ascii="Book Antiqua" w:eastAsia="Bookman Old Style" w:hAnsi="Book Antiqua" w:cs="Tahoma"/>
        </w:rPr>
        <w:t xml:space="preserve">. Accordingly, by reducing excessive regulatory burdens, businesses can operate more efficiently, lower compliance costs, and unlock new avenues for innovation and investment. </w:t>
      </w:r>
    </w:p>
    <w:p w14:paraId="5F1EEBE5" w14:textId="7021C098" w:rsidR="00164270" w:rsidRPr="00691268" w:rsidRDefault="00164270" w:rsidP="003938E1">
      <w:pPr>
        <w:pStyle w:val="paragraph"/>
        <w:tabs>
          <w:tab w:val="left" w:pos="720"/>
          <w:tab w:val="left" w:pos="1440"/>
          <w:tab w:val="left" w:pos="2160"/>
        </w:tabs>
        <w:spacing w:before="240" w:beforeAutospacing="0"/>
        <w:jc w:val="both"/>
        <w:rPr>
          <w:rFonts w:ascii="Book Antiqua" w:eastAsia="Bookman Old Style" w:hAnsi="Book Antiqua" w:cs="Tahoma"/>
        </w:rPr>
      </w:pPr>
      <w:r w:rsidRPr="00935D41">
        <w:rPr>
          <w:rFonts w:ascii="Book Antiqua" w:eastAsia="Bookman Old Style" w:hAnsi="Book Antiqua" w:cs="Tahoma"/>
          <w:b/>
          <w:bCs/>
        </w:rPr>
        <w:t>Regulation in the telecom sector</w:t>
      </w:r>
      <w:r w:rsidRPr="00691268">
        <w:rPr>
          <w:rFonts w:ascii="Book Antiqua" w:eastAsia="Bookman Old Style" w:hAnsi="Book Antiqua" w:cs="Tahoma"/>
        </w:rPr>
        <w:t xml:space="preserve"> is vital for ensuring inclusive access, encouraging healthy competition, and safeguarding consumer interests in an increasingly digital world. Regulation establishes a clear framework for infrastructure development, spectrum management, service quality, and pricing structures. Well-designed telecom regulations also stimulate innovation by enabling fair opportunities for new players. With technologies such as 5G, IoT, and AI transforming the industry, responsive and future-ready regulatory policies are essential to drive investment, accelerate growth, and promote digital inclusion.</w:t>
      </w:r>
    </w:p>
    <w:p w14:paraId="1755D8B4" w14:textId="77777777" w:rsidR="009B5552" w:rsidRDefault="00164270" w:rsidP="003938E1">
      <w:pPr>
        <w:pStyle w:val="paragraph"/>
        <w:tabs>
          <w:tab w:val="left" w:pos="720"/>
          <w:tab w:val="left" w:pos="1440"/>
          <w:tab w:val="left" w:pos="2160"/>
        </w:tabs>
        <w:spacing w:before="240" w:beforeAutospacing="0"/>
        <w:jc w:val="both"/>
        <w:rPr>
          <w:rFonts w:ascii="Book Antiqua" w:eastAsia="Bookman Old Style" w:hAnsi="Book Antiqua" w:cs="Tahoma"/>
        </w:rPr>
      </w:pPr>
      <w:r w:rsidRPr="00691268">
        <w:rPr>
          <w:rFonts w:ascii="Book Antiqua" w:eastAsia="Bookman Old Style" w:hAnsi="Book Antiqua" w:cs="Tahoma"/>
        </w:rPr>
        <w:t xml:space="preserve">Regulation is required to be ‘just’. </w:t>
      </w:r>
      <w:r w:rsidRPr="00935D41">
        <w:rPr>
          <w:rFonts w:ascii="Book Antiqua" w:eastAsia="Bookman Old Style" w:hAnsi="Book Antiqua" w:cs="Tahoma"/>
          <w:b/>
          <w:bCs/>
        </w:rPr>
        <w:t>Excess regulation</w:t>
      </w:r>
      <w:r w:rsidR="009B5552">
        <w:rPr>
          <w:rFonts w:ascii="Book Antiqua" w:eastAsia="Bookman Old Style" w:hAnsi="Book Antiqua" w:cs="Tahoma"/>
        </w:rPr>
        <w:t xml:space="preserve"> </w:t>
      </w:r>
      <w:r w:rsidRPr="00691268">
        <w:rPr>
          <w:rFonts w:ascii="Book Antiqua" w:eastAsia="Bookman Old Style" w:hAnsi="Book Antiqua" w:cs="Tahoma"/>
        </w:rPr>
        <w:t>create unnecessary hurdles, increase compliance costs, and slow down decision-making processes. In sectors like tele</w:t>
      </w:r>
      <w:r w:rsidR="009B5552">
        <w:rPr>
          <w:rFonts w:ascii="Book Antiqua" w:eastAsia="Bookman Old Style" w:hAnsi="Book Antiqua" w:cs="Tahoma"/>
        </w:rPr>
        <w:t>com</w:t>
      </w:r>
      <w:r w:rsidR="00EC06F9">
        <w:rPr>
          <w:rFonts w:ascii="Book Antiqua" w:eastAsia="Bookman Old Style" w:hAnsi="Book Antiqua" w:cs="Tahoma"/>
        </w:rPr>
        <w:t>, overly rigid/</w:t>
      </w:r>
      <w:r w:rsidRPr="00691268">
        <w:rPr>
          <w:rFonts w:ascii="Book Antiqua" w:eastAsia="Bookman Old Style" w:hAnsi="Book Antiqua" w:cs="Tahoma"/>
        </w:rPr>
        <w:t>outdated regulations can stifle innovation, delay the deployment of new technologies, and deter private investment. It may also limit the flexibility of businesses to adapt to market dynamics, thereby reducing competitiveness. Additionally, excessive regulation can discourage startups and smaller players from entering the</w:t>
      </w:r>
      <w:r w:rsidR="00841A22">
        <w:rPr>
          <w:rFonts w:ascii="Book Antiqua" w:eastAsia="Bookman Old Style" w:hAnsi="Book Antiqua" w:cs="Tahoma"/>
        </w:rPr>
        <w:t xml:space="preserve"> </w:t>
      </w:r>
      <w:r w:rsidR="009B7BE1">
        <w:rPr>
          <w:rFonts w:ascii="Book Antiqua" w:eastAsia="Bookman Old Style" w:hAnsi="Book Antiqua" w:cs="Tahoma"/>
        </w:rPr>
        <w:t xml:space="preserve">market. </w:t>
      </w:r>
      <w:r w:rsidRPr="00691268">
        <w:rPr>
          <w:rFonts w:ascii="Book Antiqua" w:eastAsia="Bookman Old Style" w:hAnsi="Book Antiqua" w:cs="Tahoma"/>
        </w:rPr>
        <w:t>A balanced approach is therefore essential to ensure regulations serve their purpose without becoming a barrier to progress.</w:t>
      </w:r>
    </w:p>
    <w:p w14:paraId="1C10DB16" w14:textId="6C3300B2" w:rsidR="00E9067D" w:rsidRDefault="00E9067D" w:rsidP="003938E1">
      <w:pPr>
        <w:pStyle w:val="paragraph"/>
        <w:tabs>
          <w:tab w:val="left" w:pos="720"/>
          <w:tab w:val="left" w:pos="1440"/>
          <w:tab w:val="left" w:pos="2160"/>
        </w:tabs>
        <w:spacing w:before="0" w:beforeAutospacing="0" w:after="0" w:afterAutospacing="0"/>
        <w:jc w:val="both"/>
        <w:rPr>
          <w:rFonts w:ascii="Book Antiqua" w:eastAsia="Bookman Old Style" w:hAnsi="Book Antiqua" w:cs="Tahoma"/>
          <w:b/>
          <w:bCs/>
          <w:u w:val="single"/>
        </w:rPr>
      </w:pPr>
      <w:r w:rsidRPr="009511AC">
        <w:rPr>
          <w:rFonts w:ascii="Book Antiqua" w:eastAsia="Bookman Old Style" w:hAnsi="Book Antiqua" w:cs="Tahoma"/>
          <w:b/>
          <w:bCs/>
          <w:u w:val="single"/>
        </w:rPr>
        <w:t>Recommendation</w:t>
      </w:r>
      <w:r w:rsidR="006B2979" w:rsidRPr="009511AC">
        <w:rPr>
          <w:rFonts w:ascii="Book Antiqua" w:eastAsia="Bookman Old Style" w:hAnsi="Book Antiqua" w:cs="Tahoma"/>
          <w:b/>
          <w:bCs/>
          <w:u w:val="single"/>
        </w:rPr>
        <w:t>s</w:t>
      </w:r>
      <w:r w:rsidRPr="009511AC">
        <w:rPr>
          <w:rFonts w:ascii="Book Antiqua" w:eastAsia="Bookman Old Style" w:hAnsi="Book Antiqua" w:cs="Tahoma"/>
          <w:b/>
          <w:bCs/>
          <w:u w:val="single"/>
        </w:rPr>
        <w:t xml:space="preserve"> of TRAI for EODB in 2024-25 </w:t>
      </w:r>
    </w:p>
    <w:p w14:paraId="7BAE90FD" w14:textId="77777777" w:rsidR="00B31096" w:rsidRPr="009511AC" w:rsidRDefault="00B31096" w:rsidP="003938E1">
      <w:pPr>
        <w:pStyle w:val="paragraph"/>
        <w:tabs>
          <w:tab w:val="left" w:pos="720"/>
          <w:tab w:val="left" w:pos="1440"/>
          <w:tab w:val="left" w:pos="2160"/>
        </w:tabs>
        <w:spacing w:before="0" w:beforeAutospacing="0" w:after="0" w:afterAutospacing="0"/>
        <w:jc w:val="both"/>
        <w:rPr>
          <w:rFonts w:ascii="Book Antiqua" w:eastAsia="Bookman Old Style" w:hAnsi="Book Antiqua" w:cs="Tahoma"/>
          <w:u w:val="single"/>
        </w:rPr>
      </w:pPr>
    </w:p>
    <w:p w14:paraId="7FDB11BE" w14:textId="671801AA" w:rsidR="00370E1A" w:rsidRPr="00935D41" w:rsidRDefault="00370E1A" w:rsidP="003938E1">
      <w:pPr>
        <w:pStyle w:val="paragraph"/>
        <w:numPr>
          <w:ilvl w:val="1"/>
          <w:numId w:val="1"/>
        </w:numPr>
        <w:tabs>
          <w:tab w:val="left" w:pos="720"/>
          <w:tab w:val="left" w:pos="1440"/>
          <w:tab w:val="left" w:pos="2160"/>
        </w:tabs>
        <w:spacing w:before="0" w:beforeAutospacing="0" w:after="0" w:afterAutospacing="0"/>
        <w:ind w:left="720" w:hanging="720"/>
        <w:jc w:val="both"/>
        <w:rPr>
          <w:rFonts w:ascii="Book Antiqua" w:eastAsia="Bookman Old Style" w:hAnsi="Book Antiqua" w:cs="Tahoma"/>
          <w:b/>
          <w:bCs/>
          <w:color w:val="0070C0"/>
        </w:rPr>
      </w:pPr>
      <w:r w:rsidRPr="009511AC">
        <w:rPr>
          <w:rFonts w:ascii="Book Antiqua" w:eastAsia="Bookman Old Style" w:hAnsi="Book Antiqua" w:cs="Tahoma"/>
          <w:b/>
          <w:bCs/>
        </w:rPr>
        <w:t xml:space="preserve">Recommendation on </w:t>
      </w:r>
      <w:bookmarkStart w:id="1" w:name="_Hlk197343219"/>
      <w:r w:rsidRPr="009511AC">
        <w:rPr>
          <w:rFonts w:ascii="Book Antiqua" w:eastAsia="Bookman Old Style" w:hAnsi="Book Antiqua" w:cs="Tahoma"/>
          <w:b/>
          <w:bCs/>
        </w:rPr>
        <w:t xml:space="preserve">Telecom Infrastructure Sharing, Spectrum Sharing and Spectrum Leasing </w:t>
      </w:r>
      <w:bookmarkEnd w:id="1"/>
      <w:r w:rsidR="009B5552" w:rsidRPr="009511AC">
        <w:rPr>
          <w:rFonts w:ascii="Book Antiqua" w:eastAsia="Bookman Old Style" w:hAnsi="Book Antiqua" w:cs="Tahoma"/>
          <w:b/>
          <w:bCs/>
        </w:rPr>
        <w:t xml:space="preserve">(2024)      </w:t>
      </w:r>
      <w:r w:rsidR="00471C43">
        <w:rPr>
          <w:rFonts w:ascii="Book Antiqua" w:eastAsia="Bookman Old Style" w:hAnsi="Book Antiqua" w:cs="Tahoma"/>
        </w:rPr>
        <w:t>S</w:t>
      </w:r>
      <w:r w:rsidR="00E70536">
        <w:rPr>
          <w:rFonts w:ascii="Book Antiqua" w:eastAsia="Bookman Old Style" w:hAnsi="Book Antiqua" w:cs="Tahoma"/>
        </w:rPr>
        <w:t xml:space="preserve">ome of the </w:t>
      </w:r>
      <w:r w:rsidR="00B563A1" w:rsidRPr="00935D41">
        <w:rPr>
          <w:rFonts w:ascii="Book Antiqua" w:eastAsia="Bookman Old Style" w:hAnsi="Book Antiqua" w:cs="Tahoma"/>
        </w:rPr>
        <w:t>recommendations</w:t>
      </w:r>
      <w:r w:rsidRPr="00935D41">
        <w:rPr>
          <w:rFonts w:ascii="Book Antiqua" w:eastAsia="Bookman Old Style" w:hAnsi="Book Antiqua" w:cs="Tahoma"/>
        </w:rPr>
        <w:t xml:space="preserve"> </w:t>
      </w:r>
      <w:r w:rsidR="008D0E5F">
        <w:rPr>
          <w:rFonts w:ascii="Book Antiqua" w:eastAsia="Bookman Old Style" w:hAnsi="Book Antiqua" w:cs="Tahoma"/>
        </w:rPr>
        <w:t>in improving</w:t>
      </w:r>
      <w:r w:rsidR="00471C43">
        <w:rPr>
          <w:rFonts w:ascii="Book Antiqua" w:eastAsia="Bookman Old Style" w:hAnsi="Book Antiqua" w:cs="Tahoma"/>
        </w:rPr>
        <w:t xml:space="preserve"> Ease of doing Business (EoDB) are as below:</w:t>
      </w:r>
    </w:p>
    <w:p w14:paraId="1244AF85" w14:textId="69269AF4" w:rsidR="00370E1A" w:rsidRPr="00691268" w:rsidRDefault="008D0E5F" w:rsidP="00DC347B">
      <w:pPr>
        <w:pStyle w:val="paragraph"/>
        <w:numPr>
          <w:ilvl w:val="1"/>
          <w:numId w:val="33"/>
        </w:numPr>
        <w:tabs>
          <w:tab w:val="left" w:pos="720"/>
          <w:tab w:val="left" w:pos="1440"/>
          <w:tab w:val="left" w:pos="2160"/>
        </w:tabs>
        <w:spacing w:before="0" w:beforeAutospacing="0"/>
        <w:ind w:hanging="720"/>
        <w:jc w:val="both"/>
        <w:rPr>
          <w:rFonts w:ascii="Book Antiqua" w:eastAsia="Bookman Old Style" w:hAnsi="Book Antiqua" w:cs="Tahoma"/>
        </w:rPr>
      </w:pPr>
      <w:r>
        <w:rPr>
          <w:rFonts w:ascii="Book Antiqua" w:eastAsia="Bookman Old Style" w:hAnsi="Book Antiqua" w:cs="Tahoma"/>
        </w:rPr>
        <w:t>Telecom</w:t>
      </w:r>
      <w:r w:rsidR="00370E1A" w:rsidRPr="00691268">
        <w:rPr>
          <w:rFonts w:ascii="Book Antiqua" w:eastAsia="Bookman Old Style" w:hAnsi="Book Antiqua" w:cs="Tahoma"/>
        </w:rPr>
        <w:t xml:space="preserve"> service licensees should be allowed to share all types of active infrastructure elements owned, established, and operated by them under respective licenses with all types of telecommunication service licensees as per the scope of their services.</w:t>
      </w:r>
    </w:p>
    <w:p w14:paraId="6DD80CB9" w14:textId="4366728A" w:rsidR="00370E1A" w:rsidRPr="00471C43" w:rsidRDefault="00370E1A" w:rsidP="00DC347B">
      <w:pPr>
        <w:pStyle w:val="paragraph"/>
        <w:numPr>
          <w:ilvl w:val="1"/>
          <w:numId w:val="33"/>
        </w:numPr>
        <w:tabs>
          <w:tab w:val="left" w:pos="720"/>
          <w:tab w:val="left" w:pos="1440"/>
          <w:tab w:val="left" w:pos="2160"/>
        </w:tabs>
        <w:spacing w:before="0" w:beforeAutospacing="0"/>
        <w:ind w:hanging="720"/>
        <w:jc w:val="both"/>
        <w:rPr>
          <w:rFonts w:ascii="Book Antiqua" w:eastAsia="Bookman Old Style" w:hAnsi="Book Antiqua" w:cs="Tahoma"/>
        </w:rPr>
      </w:pPr>
      <w:r w:rsidRPr="00691268">
        <w:rPr>
          <w:rFonts w:ascii="Book Antiqua" w:eastAsia="Bookman Old Style" w:hAnsi="Book Antiqua" w:cs="Tahoma"/>
        </w:rPr>
        <w:lastRenderedPageBreak/>
        <w:t>In addition to intra-band spectrum sharing, inter-band access spectrum sharing between access service prov</w:t>
      </w:r>
      <w:r w:rsidR="00471C43">
        <w:rPr>
          <w:rFonts w:ascii="Book Antiqua" w:eastAsia="Bookman Old Style" w:hAnsi="Book Antiqua" w:cs="Tahoma"/>
        </w:rPr>
        <w:t xml:space="preserve">iders should also be permitted. </w:t>
      </w:r>
      <w:r w:rsidRPr="00471C43">
        <w:rPr>
          <w:rFonts w:ascii="Book Antiqua" w:eastAsia="Bookman Old Style" w:hAnsi="Book Antiqua" w:cs="Tahoma"/>
        </w:rPr>
        <w:t xml:space="preserve">The leasing of access spectrum should be permitted among access service providers. </w:t>
      </w:r>
      <w:r w:rsidR="003938E1">
        <w:rPr>
          <w:rFonts w:ascii="Book Antiqua" w:eastAsia="Bookman Old Style" w:hAnsi="Book Antiqua" w:cs="Tahoma"/>
        </w:rPr>
        <w:t>A detailed framework was recommended</w:t>
      </w:r>
      <w:r w:rsidRPr="00471C43">
        <w:rPr>
          <w:rFonts w:ascii="Book Antiqua" w:eastAsia="Bookman Old Style" w:hAnsi="Book Antiqua" w:cs="Tahoma"/>
        </w:rPr>
        <w:t>.</w:t>
      </w:r>
    </w:p>
    <w:p w14:paraId="3F6C572F" w14:textId="6A6C3B2D" w:rsidR="00853536" w:rsidRPr="00AA58D7" w:rsidRDefault="00471C43" w:rsidP="00C950D8">
      <w:pPr>
        <w:pStyle w:val="paragraph"/>
        <w:numPr>
          <w:ilvl w:val="1"/>
          <w:numId w:val="1"/>
        </w:numPr>
        <w:tabs>
          <w:tab w:val="left" w:pos="720"/>
          <w:tab w:val="left" w:pos="1440"/>
          <w:tab w:val="left" w:pos="2160"/>
        </w:tabs>
        <w:spacing w:before="0" w:beforeAutospacing="0" w:after="240" w:line="276" w:lineRule="auto"/>
        <w:ind w:left="720" w:hanging="720"/>
        <w:jc w:val="both"/>
        <w:rPr>
          <w:rFonts w:ascii="Book Antiqua" w:eastAsia="Bookman Old Style" w:hAnsi="Book Antiqua" w:cs="Tahoma"/>
          <w:b/>
          <w:bCs/>
        </w:rPr>
      </w:pPr>
      <w:r>
        <w:rPr>
          <w:rFonts w:ascii="Book Antiqua" w:eastAsia="Bookman Old Style" w:hAnsi="Book Antiqua" w:cs="Tahoma"/>
          <w:b/>
          <w:bCs/>
        </w:rPr>
        <w:t>Eo</w:t>
      </w:r>
      <w:r w:rsidR="00A976C1" w:rsidRPr="00AA58D7">
        <w:rPr>
          <w:rFonts w:ascii="Book Antiqua" w:eastAsia="Bookman Old Style" w:hAnsi="Book Antiqua" w:cs="Tahoma"/>
          <w:b/>
          <w:bCs/>
        </w:rPr>
        <w:t>DB Recommendations on the 'Framework for Service Authorisations to be Granted Under the Telecommunications Act, 2023</w:t>
      </w:r>
      <w:r w:rsidR="009407D1" w:rsidRPr="00AA58D7">
        <w:rPr>
          <w:rFonts w:ascii="Book Antiqua" w:eastAsia="Bookman Old Style" w:hAnsi="Book Antiqua" w:cs="Tahoma"/>
          <w:b/>
          <w:bCs/>
        </w:rPr>
        <w:t xml:space="preserve"> Dated </w:t>
      </w:r>
      <w:r w:rsidR="00B563A1" w:rsidRPr="00AA58D7">
        <w:rPr>
          <w:rFonts w:ascii="Book Antiqua" w:eastAsia="Bookman Old Style" w:hAnsi="Book Antiqua" w:cs="Tahoma"/>
          <w:b/>
          <w:bCs/>
        </w:rPr>
        <w:t>18th Sep,</w:t>
      </w:r>
      <w:r w:rsidR="00A976C1" w:rsidRPr="00AA58D7">
        <w:rPr>
          <w:rFonts w:ascii="Book Antiqua" w:eastAsia="Bookman Old Style" w:hAnsi="Book Antiqua" w:cs="Tahoma"/>
          <w:b/>
          <w:bCs/>
        </w:rPr>
        <w:t xml:space="preserve">2024 </w:t>
      </w:r>
    </w:p>
    <w:p w14:paraId="3B7C0067" w14:textId="4B913E59" w:rsidR="00C71D14" w:rsidRPr="00471C43" w:rsidRDefault="00C71D14" w:rsidP="00DC347B">
      <w:pPr>
        <w:pStyle w:val="paragraph"/>
        <w:numPr>
          <w:ilvl w:val="0"/>
          <w:numId w:val="21"/>
        </w:numPr>
        <w:tabs>
          <w:tab w:val="left" w:pos="1440"/>
          <w:tab w:val="left" w:pos="2160"/>
        </w:tabs>
        <w:spacing w:before="0" w:beforeAutospacing="0" w:after="240"/>
        <w:ind w:left="1440" w:hanging="720"/>
        <w:jc w:val="both"/>
        <w:rPr>
          <w:rFonts w:ascii="Book Antiqua" w:eastAsia="Bookman Old Style" w:hAnsi="Book Antiqua" w:cs="Tahoma"/>
        </w:rPr>
      </w:pPr>
      <w:r w:rsidRPr="00691268">
        <w:rPr>
          <w:rFonts w:ascii="Book Antiqua" w:eastAsia="Bookman Old Style" w:hAnsi="Book Antiqua" w:cs="Tahoma"/>
        </w:rPr>
        <w:t xml:space="preserve">The Central Government </w:t>
      </w:r>
      <w:r w:rsidR="006A42B1" w:rsidRPr="00691268">
        <w:rPr>
          <w:rFonts w:ascii="Book Antiqua" w:eastAsia="Bookman Old Style" w:hAnsi="Book Antiqua" w:cs="Tahoma"/>
        </w:rPr>
        <w:t xml:space="preserve">to </w:t>
      </w:r>
      <w:r w:rsidRPr="00691268">
        <w:rPr>
          <w:rFonts w:ascii="Book Antiqua" w:eastAsia="Bookman Old Style" w:hAnsi="Book Antiqua" w:cs="Tahoma"/>
        </w:rPr>
        <w:t xml:space="preserve">grant Service Authorisation under section 3(1) of the Telecommunications Act, 2023 instead of entering into an agreement with the entity. </w:t>
      </w:r>
      <w:r w:rsidRPr="00471C43">
        <w:rPr>
          <w:rFonts w:ascii="Book Antiqua" w:eastAsia="Bookman Old Style" w:hAnsi="Book Antiqua" w:cs="Tahoma"/>
        </w:rPr>
        <w:t xml:space="preserve">The authorisation should be a </w:t>
      </w:r>
      <w:r w:rsidR="00584108" w:rsidRPr="00471C43">
        <w:rPr>
          <w:rFonts w:ascii="Book Antiqua" w:eastAsia="Bookman Old Style" w:hAnsi="Book Antiqua" w:cs="Tahoma"/>
        </w:rPr>
        <w:t>concise document, containing</w:t>
      </w:r>
      <w:r w:rsidRPr="00471C43">
        <w:rPr>
          <w:rFonts w:ascii="Book Antiqua" w:eastAsia="Bookman Old Style" w:hAnsi="Book Antiqua" w:cs="Tahoma"/>
        </w:rPr>
        <w:t xml:space="preserve"> esse</w:t>
      </w:r>
      <w:r w:rsidR="00471C43" w:rsidRPr="00471C43">
        <w:rPr>
          <w:rFonts w:ascii="Book Antiqua" w:eastAsia="Bookman Old Style" w:hAnsi="Book Antiqua" w:cs="Tahoma"/>
        </w:rPr>
        <w:t>ntial elements and the terms and</w:t>
      </w:r>
      <w:r w:rsidRPr="00471C43">
        <w:rPr>
          <w:rFonts w:ascii="Book Antiqua" w:eastAsia="Bookman Old Style" w:hAnsi="Book Antiqua" w:cs="Tahoma"/>
        </w:rPr>
        <w:t xml:space="preserve"> conditions</w:t>
      </w:r>
      <w:r w:rsidR="00DC347B">
        <w:rPr>
          <w:rFonts w:ascii="Book Antiqua" w:eastAsia="Bookman Old Style" w:hAnsi="Book Antiqua" w:cs="Tahoma"/>
        </w:rPr>
        <w:t>,</w:t>
      </w:r>
      <w:r w:rsidR="00471C43">
        <w:rPr>
          <w:rFonts w:ascii="Book Antiqua" w:eastAsia="Bookman Old Style" w:hAnsi="Book Antiqua" w:cs="Tahoma"/>
        </w:rPr>
        <w:t xml:space="preserve">     </w:t>
      </w:r>
      <w:r w:rsidR="00DC347B">
        <w:rPr>
          <w:rFonts w:ascii="Book Antiqua" w:eastAsia="Bookman Old Style" w:hAnsi="Book Antiqua" w:cs="Tahoma"/>
        </w:rPr>
        <w:t>s</w:t>
      </w:r>
      <w:r w:rsidRPr="00471C43">
        <w:rPr>
          <w:rFonts w:ascii="Book Antiqua" w:eastAsia="Bookman Old Style" w:hAnsi="Book Antiqua" w:cs="Tahoma"/>
        </w:rPr>
        <w:t xml:space="preserve">ervice authorisations including the eligibility conditions, scope of service, validity period etc. </w:t>
      </w:r>
    </w:p>
    <w:p w14:paraId="01A1AF3A" w14:textId="5D284BA8" w:rsidR="0061170B" w:rsidRPr="00691268" w:rsidRDefault="0061170B" w:rsidP="00DC347B">
      <w:pPr>
        <w:pStyle w:val="paragraph"/>
        <w:numPr>
          <w:ilvl w:val="0"/>
          <w:numId w:val="21"/>
        </w:numPr>
        <w:tabs>
          <w:tab w:val="left" w:pos="1440"/>
          <w:tab w:val="left" w:pos="2160"/>
        </w:tabs>
        <w:spacing w:before="0" w:beforeAutospacing="0" w:after="240"/>
        <w:ind w:left="1440" w:hanging="720"/>
        <w:jc w:val="both"/>
        <w:rPr>
          <w:rFonts w:ascii="Book Antiqua" w:eastAsia="Bookman Old Style" w:hAnsi="Book Antiqua" w:cs="Tahoma"/>
        </w:rPr>
      </w:pPr>
      <w:r w:rsidRPr="00691268">
        <w:rPr>
          <w:rFonts w:ascii="Book Antiqua" w:eastAsia="Bookman Old Style" w:hAnsi="Book Antiqua" w:cs="Tahoma"/>
        </w:rPr>
        <w:t>For the VNOs, multi</w:t>
      </w:r>
      <w:r w:rsidR="00D4034C" w:rsidRPr="00691268">
        <w:rPr>
          <w:rFonts w:ascii="Book Antiqua" w:eastAsia="Bookman Old Style" w:hAnsi="Book Antiqua" w:cs="Tahoma"/>
        </w:rPr>
        <w:t>-</w:t>
      </w:r>
      <w:r w:rsidRPr="00691268">
        <w:rPr>
          <w:rFonts w:ascii="Book Antiqua" w:eastAsia="Bookman Old Style" w:hAnsi="Book Antiqua" w:cs="Tahoma"/>
        </w:rPr>
        <w:t>parenting with Access Service NSOs has been permitted except for wireless services, where parenting can be with only one Network Service Operator (NSO).</w:t>
      </w:r>
    </w:p>
    <w:p w14:paraId="7A7C5749" w14:textId="05B418A1" w:rsidR="00164CC7" w:rsidRPr="00691268" w:rsidRDefault="00164CC7" w:rsidP="00DC347B">
      <w:pPr>
        <w:pStyle w:val="paragraph"/>
        <w:numPr>
          <w:ilvl w:val="0"/>
          <w:numId w:val="21"/>
        </w:numPr>
        <w:tabs>
          <w:tab w:val="left" w:pos="1440"/>
          <w:tab w:val="left" w:pos="2160"/>
        </w:tabs>
        <w:spacing w:before="0" w:beforeAutospacing="0" w:after="240"/>
        <w:ind w:left="1440" w:hanging="720"/>
        <w:jc w:val="both"/>
        <w:rPr>
          <w:rFonts w:ascii="Book Antiqua" w:eastAsia="Bookman Old Style" w:hAnsi="Book Antiqua" w:cs="Tahoma"/>
        </w:rPr>
      </w:pPr>
      <w:r w:rsidRPr="00691268">
        <w:rPr>
          <w:rFonts w:ascii="Book Antiqua" w:eastAsia="Bookman Old Style" w:hAnsi="Book Antiqua" w:cs="Tahoma"/>
        </w:rPr>
        <w:t xml:space="preserve">Under the new authorisation framework, </w:t>
      </w:r>
      <w:r w:rsidRPr="00584108">
        <w:rPr>
          <w:rFonts w:ascii="Book Antiqua" w:eastAsia="Bookman Old Style" w:hAnsi="Book Antiqua" w:cs="Tahoma"/>
          <w:b/>
          <w:bCs/>
        </w:rPr>
        <w:t>'Unified Service Authorisation'</w:t>
      </w:r>
      <w:r w:rsidRPr="00691268">
        <w:rPr>
          <w:rFonts w:ascii="Book Antiqua" w:eastAsia="Bookman Old Style" w:hAnsi="Book Antiqua" w:cs="Tahoma"/>
        </w:rPr>
        <w:t xml:space="preserve"> has been introduced to achieve the objective of </w:t>
      </w:r>
      <w:r w:rsidRPr="00584108">
        <w:rPr>
          <w:rFonts w:ascii="Book Antiqua" w:eastAsia="Bookman Old Style" w:hAnsi="Book Antiqua" w:cs="Tahoma"/>
          <w:b/>
          <w:bCs/>
          <w:i/>
          <w:iCs/>
        </w:rPr>
        <w:t>'One Nation - One Authorisation'</w:t>
      </w:r>
      <w:r w:rsidRPr="00691268">
        <w:rPr>
          <w:rFonts w:ascii="Book Antiqua" w:eastAsia="Bookman Old Style" w:hAnsi="Book Antiqua" w:cs="Tahoma"/>
        </w:rPr>
        <w:t xml:space="preserve"> across services and service areas. An entity holding Unified Service Authorisation can provide </w:t>
      </w:r>
      <w:r w:rsidR="00584108">
        <w:rPr>
          <w:rFonts w:ascii="Book Antiqua" w:eastAsia="Bookman Old Style" w:hAnsi="Book Antiqua" w:cs="Tahoma"/>
        </w:rPr>
        <w:t xml:space="preserve">services-such as </w:t>
      </w:r>
      <w:r w:rsidRPr="00691268">
        <w:rPr>
          <w:rFonts w:ascii="Book Antiqua" w:eastAsia="Bookman Old Style" w:hAnsi="Book Antiqua" w:cs="Tahoma"/>
        </w:rPr>
        <w:t>mobile, internet, broadband, landline telephone, long</w:t>
      </w:r>
      <w:r w:rsidR="00354B3D" w:rsidRPr="00691268">
        <w:rPr>
          <w:rFonts w:ascii="Book Antiqua" w:eastAsia="Bookman Old Style" w:hAnsi="Book Antiqua" w:cs="Tahoma"/>
        </w:rPr>
        <w:t>-</w:t>
      </w:r>
      <w:r w:rsidRPr="00691268">
        <w:rPr>
          <w:rFonts w:ascii="Book Antiqua" w:eastAsia="Bookman Old Style" w:hAnsi="Book Antiqua" w:cs="Tahoma"/>
        </w:rPr>
        <w:t>distance, satellite communication</w:t>
      </w:r>
      <w:r w:rsidR="0047025E">
        <w:rPr>
          <w:rFonts w:ascii="Book Antiqua" w:eastAsia="Bookman Old Style" w:hAnsi="Book Antiqua" w:cs="Tahoma"/>
        </w:rPr>
        <w:t xml:space="preserve">, Machine to Machine (M2M) and IoT </w:t>
      </w:r>
      <w:r w:rsidR="00584108">
        <w:rPr>
          <w:rFonts w:ascii="Book Antiqua" w:eastAsia="Bookman Old Style" w:hAnsi="Book Antiqua" w:cs="Tahoma"/>
        </w:rPr>
        <w:t>sevice</w:t>
      </w:r>
      <w:r w:rsidR="00935D41">
        <w:rPr>
          <w:rFonts w:ascii="Book Antiqua" w:eastAsia="Bookman Old Style" w:hAnsi="Book Antiqua" w:cs="Tahoma"/>
        </w:rPr>
        <w:t>s</w:t>
      </w:r>
      <w:r w:rsidR="00584108">
        <w:rPr>
          <w:rFonts w:ascii="Book Antiqua" w:eastAsia="Bookman Old Style" w:hAnsi="Book Antiqua" w:cs="Tahoma"/>
        </w:rPr>
        <w:t xml:space="preserve"> </w:t>
      </w:r>
      <w:r w:rsidR="0047025E">
        <w:rPr>
          <w:rFonts w:ascii="Book Antiqua" w:eastAsia="Bookman Old Style" w:hAnsi="Book Antiqua" w:cs="Tahoma"/>
        </w:rPr>
        <w:t xml:space="preserve">on </w:t>
      </w:r>
      <w:r w:rsidRPr="00691268">
        <w:rPr>
          <w:rFonts w:ascii="Book Antiqua" w:eastAsia="Bookman Old Style" w:hAnsi="Book Antiqua" w:cs="Tahoma"/>
        </w:rPr>
        <w:t xml:space="preserve">pan-India basis under a single authorisation. </w:t>
      </w:r>
    </w:p>
    <w:p w14:paraId="16A89009" w14:textId="7975902E" w:rsidR="009F1A66" w:rsidRPr="00691268" w:rsidRDefault="00DC347B" w:rsidP="008D0E5F">
      <w:pPr>
        <w:pStyle w:val="paragraph"/>
        <w:numPr>
          <w:ilvl w:val="0"/>
          <w:numId w:val="21"/>
        </w:numPr>
        <w:tabs>
          <w:tab w:val="left" w:pos="1440"/>
          <w:tab w:val="left" w:pos="2160"/>
        </w:tabs>
        <w:spacing w:before="0" w:beforeAutospacing="0" w:after="240"/>
        <w:ind w:left="1440" w:hanging="720"/>
        <w:jc w:val="both"/>
        <w:rPr>
          <w:rFonts w:ascii="Book Antiqua" w:eastAsia="Bookman Old Style" w:hAnsi="Book Antiqua" w:cs="Tahoma"/>
        </w:rPr>
      </w:pPr>
      <w:r>
        <w:rPr>
          <w:rFonts w:ascii="Book Antiqua" w:eastAsia="Bookman Old Style" w:hAnsi="Book Antiqua" w:cs="Tahoma"/>
        </w:rPr>
        <w:t xml:space="preserve">National Long Distance </w:t>
      </w:r>
      <w:r w:rsidR="009F1A66" w:rsidRPr="00691268">
        <w:rPr>
          <w:rFonts w:ascii="Book Antiqua" w:eastAsia="Bookman Old Style" w:hAnsi="Book Antiqua" w:cs="Tahoma"/>
        </w:rPr>
        <w:t>service and I</w:t>
      </w:r>
      <w:r>
        <w:rPr>
          <w:rFonts w:ascii="Book Antiqua" w:eastAsia="Bookman Old Style" w:hAnsi="Book Antiqua" w:cs="Tahoma"/>
        </w:rPr>
        <w:t>nternational Long Distance</w:t>
      </w:r>
      <w:r w:rsidR="009F1A66" w:rsidRPr="00691268">
        <w:rPr>
          <w:rFonts w:ascii="Book Antiqua" w:eastAsia="Bookman Old Style" w:hAnsi="Book Antiqua" w:cs="Tahoma"/>
        </w:rPr>
        <w:t xml:space="preserve"> service have been merged in</w:t>
      </w:r>
      <w:r w:rsidR="008D0E5F">
        <w:rPr>
          <w:rFonts w:ascii="Book Antiqua" w:eastAsia="Bookman Old Style" w:hAnsi="Book Antiqua" w:cs="Tahoma"/>
        </w:rPr>
        <w:t xml:space="preserve"> </w:t>
      </w:r>
      <w:r w:rsidR="009F1A66" w:rsidRPr="00691268">
        <w:rPr>
          <w:rFonts w:ascii="Book Antiqua" w:eastAsia="Bookman Old Style" w:hAnsi="Book Antiqua" w:cs="Tahoma"/>
        </w:rPr>
        <w:t>'Long Distance Service Authorisation'.</w:t>
      </w:r>
    </w:p>
    <w:p w14:paraId="22C5AF5E" w14:textId="0889DD69" w:rsidR="00F765BB" w:rsidRPr="00691268" w:rsidRDefault="00F765BB" w:rsidP="00DC347B">
      <w:pPr>
        <w:pStyle w:val="paragraph"/>
        <w:numPr>
          <w:ilvl w:val="0"/>
          <w:numId w:val="21"/>
        </w:numPr>
        <w:tabs>
          <w:tab w:val="left" w:pos="1440"/>
          <w:tab w:val="left" w:pos="2160"/>
        </w:tabs>
        <w:spacing w:before="0" w:beforeAutospacing="0" w:after="0" w:afterAutospacing="0"/>
        <w:ind w:left="1440" w:hanging="720"/>
        <w:jc w:val="both"/>
        <w:rPr>
          <w:rFonts w:ascii="Book Antiqua" w:eastAsia="Bookman Old Style" w:hAnsi="Book Antiqua" w:cs="Tahoma"/>
        </w:rPr>
      </w:pPr>
      <w:r w:rsidRPr="00691268">
        <w:rPr>
          <w:rFonts w:ascii="Book Antiqua" w:eastAsia="Bookman Old Style" w:hAnsi="Book Antiqua" w:cs="Tahoma"/>
        </w:rPr>
        <w:t>Authorised entities have been allowed to share all active and passive infrastructure amongst themselves.</w:t>
      </w:r>
    </w:p>
    <w:p w14:paraId="19F46BA1" w14:textId="01473CCE" w:rsidR="00F765BB" w:rsidRPr="00691268" w:rsidRDefault="00F765BB" w:rsidP="00DC347B">
      <w:pPr>
        <w:pStyle w:val="paragraph"/>
        <w:numPr>
          <w:ilvl w:val="0"/>
          <w:numId w:val="21"/>
        </w:numPr>
        <w:tabs>
          <w:tab w:val="left" w:pos="1440"/>
          <w:tab w:val="left" w:pos="2160"/>
        </w:tabs>
        <w:spacing w:before="0" w:beforeAutospacing="0" w:after="0" w:afterAutospacing="0"/>
        <w:ind w:left="1440" w:hanging="720"/>
        <w:jc w:val="both"/>
        <w:rPr>
          <w:rFonts w:ascii="Book Antiqua" w:eastAsia="Bookman Old Style" w:hAnsi="Book Antiqua" w:cs="Tahoma"/>
        </w:rPr>
      </w:pPr>
      <w:r w:rsidRPr="008D0E5F">
        <w:rPr>
          <w:rFonts w:ascii="Book Antiqua" w:eastAsia="Bookman Old Style" w:hAnsi="Book Antiqua" w:cs="Tahoma"/>
          <w:b/>
          <w:bCs/>
        </w:rPr>
        <w:t>The entry fee</w:t>
      </w:r>
      <w:r w:rsidRPr="00691268">
        <w:rPr>
          <w:rFonts w:ascii="Book Antiqua" w:eastAsia="Bookman Old Style" w:hAnsi="Book Antiqua" w:cs="Tahoma"/>
        </w:rPr>
        <w:t xml:space="preserve"> for different service authorisations have been significantly reduced, which is expected to open the doors for new service providers, drive fresh inv</w:t>
      </w:r>
      <w:r w:rsidR="008F3801">
        <w:rPr>
          <w:rFonts w:ascii="Book Antiqua" w:eastAsia="Bookman Old Style" w:hAnsi="Book Antiqua" w:cs="Tahoma"/>
        </w:rPr>
        <w:t>estments, and boost competition.</w:t>
      </w:r>
    </w:p>
    <w:p w14:paraId="4E532A1F" w14:textId="77777777" w:rsidR="00DC712D" w:rsidRPr="00691268" w:rsidRDefault="002B765F" w:rsidP="00DC347B">
      <w:pPr>
        <w:pStyle w:val="paragraph"/>
        <w:numPr>
          <w:ilvl w:val="0"/>
          <w:numId w:val="21"/>
        </w:numPr>
        <w:tabs>
          <w:tab w:val="left" w:pos="1440"/>
          <w:tab w:val="left" w:pos="2160"/>
        </w:tabs>
        <w:spacing w:before="0" w:beforeAutospacing="0" w:after="0" w:afterAutospacing="0"/>
        <w:ind w:left="1440" w:hanging="720"/>
        <w:jc w:val="both"/>
        <w:rPr>
          <w:rFonts w:ascii="Book Antiqua" w:eastAsia="Bookman Old Style" w:hAnsi="Book Antiqua" w:cs="Tahoma"/>
        </w:rPr>
      </w:pPr>
      <w:r w:rsidRPr="00691268">
        <w:rPr>
          <w:rFonts w:ascii="Book Antiqua" w:eastAsia="Bookman Old Style" w:hAnsi="Book Antiqua" w:cs="Tahoma"/>
        </w:rPr>
        <w:t xml:space="preserve">For authorisations having provisions of both Financial Bank Guarantee (FBG) and Performance Bank Guarantee (PBG), FBG and PBG </w:t>
      </w:r>
      <w:r w:rsidR="000A729A" w:rsidRPr="00691268">
        <w:rPr>
          <w:rFonts w:ascii="Book Antiqua" w:eastAsia="Bookman Old Style" w:hAnsi="Book Antiqua" w:cs="Tahoma"/>
        </w:rPr>
        <w:t xml:space="preserve">to </w:t>
      </w:r>
      <w:r w:rsidRPr="00691268">
        <w:rPr>
          <w:rFonts w:ascii="Book Antiqua" w:eastAsia="Bookman Old Style" w:hAnsi="Book Antiqua" w:cs="Tahoma"/>
        </w:rPr>
        <w:t xml:space="preserve">be merged into a single Bank Guarantee. </w:t>
      </w:r>
    </w:p>
    <w:p w14:paraId="44A30858" w14:textId="1316DF27" w:rsidR="002B765F" w:rsidRPr="003938E1" w:rsidRDefault="002B765F" w:rsidP="00DC347B">
      <w:pPr>
        <w:pStyle w:val="paragraph"/>
        <w:numPr>
          <w:ilvl w:val="0"/>
          <w:numId w:val="21"/>
        </w:numPr>
        <w:tabs>
          <w:tab w:val="left" w:pos="1440"/>
          <w:tab w:val="left" w:pos="2160"/>
        </w:tabs>
        <w:spacing w:before="0" w:beforeAutospacing="0" w:after="0" w:afterAutospacing="0"/>
        <w:ind w:left="1440" w:hanging="720"/>
        <w:jc w:val="both"/>
        <w:rPr>
          <w:rFonts w:ascii="Book Antiqua" w:eastAsia="Bookman Old Style" w:hAnsi="Book Antiqua" w:cs="Tahoma"/>
          <w:b/>
          <w:bCs/>
        </w:rPr>
      </w:pPr>
      <w:r w:rsidRPr="00DC347B">
        <w:rPr>
          <w:rFonts w:ascii="Book Antiqua" w:eastAsia="Bookman Old Style" w:hAnsi="Book Antiqua" w:cs="Tahoma"/>
        </w:rPr>
        <w:t xml:space="preserve">The merging of bank guarantees and replacing the Affidavit with a Self-Certificate is expected to </w:t>
      </w:r>
      <w:r w:rsidRPr="003938E1">
        <w:rPr>
          <w:rFonts w:ascii="Book Antiqua" w:eastAsia="Bookman Old Style" w:hAnsi="Book Antiqua" w:cs="Tahoma"/>
          <w:b/>
          <w:bCs/>
        </w:rPr>
        <w:t>simplify procedures and en</w:t>
      </w:r>
      <w:r w:rsidR="008F3801" w:rsidRPr="003938E1">
        <w:rPr>
          <w:rFonts w:ascii="Book Antiqua" w:eastAsia="Bookman Old Style" w:hAnsi="Book Antiqua" w:cs="Tahoma"/>
          <w:b/>
          <w:bCs/>
        </w:rPr>
        <w:t>hance the EoDB</w:t>
      </w:r>
      <w:r w:rsidRPr="003938E1">
        <w:rPr>
          <w:rFonts w:ascii="Book Antiqua" w:eastAsia="Bookman Old Style" w:hAnsi="Book Antiqua" w:cs="Tahoma"/>
          <w:b/>
          <w:bCs/>
        </w:rPr>
        <w:t>.</w:t>
      </w:r>
    </w:p>
    <w:p w14:paraId="305B4AE0" w14:textId="1136C230" w:rsidR="007C1C3B" w:rsidRPr="00691268" w:rsidRDefault="007C1C3B" w:rsidP="00DC347B">
      <w:pPr>
        <w:pStyle w:val="paragraph"/>
        <w:numPr>
          <w:ilvl w:val="0"/>
          <w:numId w:val="21"/>
        </w:numPr>
        <w:tabs>
          <w:tab w:val="left" w:pos="1440"/>
          <w:tab w:val="left" w:pos="2160"/>
        </w:tabs>
        <w:spacing w:before="0" w:beforeAutospacing="0" w:after="0" w:afterAutospacing="0"/>
        <w:ind w:left="1440" w:hanging="720"/>
        <w:jc w:val="both"/>
        <w:rPr>
          <w:rFonts w:ascii="Book Antiqua" w:eastAsia="Bookman Old Style" w:hAnsi="Book Antiqua" w:cs="Tahoma"/>
        </w:rPr>
      </w:pPr>
      <w:r w:rsidRPr="00691268">
        <w:rPr>
          <w:rFonts w:ascii="Book Antiqua" w:eastAsia="Bookman Old Style" w:hAnsi="Book Antiqua" w:cs="Tahoma"/>
        </w:rPr>
        <w:t>To provide regulatory stability, it has been recommended that for any substantial change(s) in the terms and conditions of the authorisations, except for the reason of the interest of the security of the State, the Central Government shou</w:t>
      </w:r>
      <w:r w:rsidR="002572DB">
        <w:rPr>
          <w:rFonts w:ascii="Book Antiqua" w:eastAsia="Bookman Old Style" w:hAnsi="Book Antiqua" w:cs="Tahoma"/>
        </w:rPr>
        <w:t>ld seek TRAI's recommendations</w:t>
      </w:r>
      <w:r w:rsidRPr="00691268">
        <w:rPr>
          <w:rFonts w:ascii="Book Antiqua" w:eastAsia="Bookman Old Style" w:hAnsi="Book Antiqua" w:cs="Tahoma"/>
        </w:rPr>
        <w:t>.</w:t>
      </w:r>
    </w:p>
    <w:p w14:paraId="655798B3" w14:textId="6F29ADAB" w:rsidR="00573D85" w:rsidRPr="00AA58D7" w:rsidRDefault="00573D85" w:rsidP="00AE261D">
      <w:pPr>
        <w:pStyle w:val="paragraph"/>
        <w:numPr>
          <w:ilvl w:val="1"/>
          <w:numId w:val="1"/>
        </w:numPr>
        <w:tabs>
          <w:tab w:val="left" w:pos="720"/>
          <w:tab w:val="left" w:pos="1440"/>
          <w:tab w:val="left" w:pos="2160"/>
        </w:tabs>
        <w:spacing w:before="240" w:after="240"/>
        <w:ind w:left="720" w:hanging="720"/>
        <w:jc w:val="both"/>
        <w:rPr>
          <w:rFonts w:ascii="Book Antiqua" w:eastAsia="Bookman Old Style" w:hAnsi="Book Antiqua" w:cs="Tahoma"/>
          <w:b/>
          <w:bCs/>
        </w:rPr>
      </w:pPr>
      <w:r w:rsidRPr="00AA58D7">
        <w:rPr>
          <w:rFonts w:ascii="Book Antiqua" w:eastAsia="Bookman Old Style" w:hAnsi="Book Antiqua" w:cs="Tahoma"/>
          <w:b/>
          <w:bCs/>
        </w:rPr>
        <w:t xml:space="preserve">Recommendations on ‘Regulatory framework for Ground-based Broadcasters </w:t>
      </w:r>
      <w:r w:rsidR="00370E1A" w:rsidRPr="00AA58D7">
        <w:rPr>
          <w:rFonts w:ascii="Book Antiqua" w:eastAsia="Bookman Old Style" w:hAnsi="Book Antiqua" w:cs="Tahoma"/>
          <w:b/>
          <w:bCs/>
        </w:rPr>
        <w:t>[</w:t>
      </w:r>
      <w:r w:rsidRPr="00AA58D7">
        <w:rPr>
          <w:rFonts w:ascii="Book Antiqua" w:eastAsia="Bookman Old Style" w:hAnsi="Book Antiqua" w:cs="Tahoma"/>
          <w:b/>
          <w:bCs/>
        </w:rPr>
        <w:t>dated 15th January 2025</w:t>
      </w:r>
      <w:r w:rsidR="00370E1A" w:rsidRPr="00AA58D7">
        <w:rPr>
          <w:rFonts w:ascii="Book Antiqua" w:eastAsia="Bookman Old Style" w:hAnsi="Book Antiqua" w:cs="Tahoma"/>
          <w:b/>
          <w:bCs/>
        </w:rPr>
        <w:t>]</w:t>
      </w:r>
      <w:r w:rsidRPr="00AA58D7">
        <w:rPr>
          <w:rFonts w:ascii="Book Antiqua" w:eastAsia="Bookman Old Style" w:hAnsi="Book Antiqua" w:cs="Tahoma"/>
          <w:b/>
          <w:bCs/>
        </w:rPr>
        <w:t xml:space="preserve"> from</w:t>
      </w:r>
      <w:r w:rsidR="00AE261D" w:rsidRPr="00AA58D7">
        <w:rPr>
          <w:rFonts w:ascii="Book Antiqua" w:eastAsia="Bookman Old Style" w:hAnsi="Book Antiqua" w:cs="Tahoma"/>
          <w:b/>
          <w:bCs/>
        </w:rPr>
        <w:t xml:space="preserve"> </w:t>
      </w:r>
      <w:r w:rsidRPr="00AA58D7">
        <w:rPr>
          <w:rFonts w:ascii="Book Antiqua" w:eastAsia="Bookman Old Style" w:hAnsi="Book Antiqua" w:cs="Tahoma"/>
          <w:b/>
          <w:bCs/>
        </w:rPr>
        <w:t xml:space="preserve"> EoDB </w:t>
      </w:r>
      <w:r w:rsidR="00AE261D" w:rsidRPr="00AA58D7">
        <w:rPr>
          <w:rFonts w:ascii="Book Antiqua" w:eastAsia="Bookman Old Style" w:hAnsi="Book Antiqua" w:cs="Tahoma"/>
          <w:b/>
          <w:bCs/>
        </w:rPr>
        <w:t xml:space="preserve"> </w:t>
      </w:r>
      <w:r w:rsidRPr="00AA58D7">
        <w:rPr>
          <w:rFonts w:ascii="Book Antiqua" w:eastAsia="Bookman Old Style" w:hAnsi="Book Antiqua" w:cs="Tahoma"/>
          <w:b/>
          <w:bCs/>
        </w:rPr>
        <w:t>perspective</w:t>
      </w:r>
    </w:p>
    <w:p w14:paraId="5AD8B544" w14:textId="73C004F1" w:rsidR="00573D85" w:rsidRPr="00691268" w:rsidRDefault="00573D85" w:rsidP="00DC347B">
      <w:pPr>
        <w:pStyle w:val="paragraph"/>
        <w:numPr>
          <w:ilvl w:val="0"/>
          <w:numId w:val="21"/>
        </w:numPr>
        <w:tabs>
          <w:tab w:val="left" w:pos="720"/>
          <w:tab w:val="left" w:pos="1440"/>
          <w:tab w:val="left" w:pos="2160"/>
        </w:tabs>
        <w:spacing w:before="0" w:beforeAutospacing="0" w:after="240"/>
        <w:ind w:left="1440" w:hanging="720"/>
        <w:jc w:val="both"/>
        <w:rPr>
          <w:rFonts w:ascii="Book Antiqua" w:eastAsia="Bookman Old Style" w:hAnsi="Book Antiqua" w:cs="Tahoma"/>
        </w:rPr>
      </w:pPr>
      <w:r w:rsidRPr="00691268">
        <w:rPr>
          <w:rFonts w:ascii="Book Antiqua" w:eastAsia="Bookman Old Style" w:hAnsi="Book Antiqua" w:cs="Tahoma"/>
        </w:rPr>
        <w:t xml:space="preserve">A Ground-based Broadcaster may use any terrestrial communication medium(s), for delivery of channels to the DPOs. There shall be no </w:t>
      </w:r>
      <w:r w:rsidRPr="00691268">
        <w:rPr>
          <w:rFonts w:ascii="Book Antiqua" w:eastAsia="Bookman Old Style" w:hAnsi="Book Antiqua" w:cs="Tahoma"/>
        </w:rPr>
        <w:lastRenderedPageBreak/>
        <w:t>restriction on the use of terrest</w:t>
      </w:r>
      <w:r w:rsidR="002572DB">
        <w:rPr>
          <w:rFonts w:ascii="Book Antiqua" w:eastAsia="Bookman Old Style" w:hAnsi="Book Antiqua" w:cs="Tahoma"/>
        </w:rPr>
        <w:t>rial communication technologies</w:t>
      </w:r>
      <w:r w:rsidRPr="00691268">
        <w:rPr>
          <w:rFonts w:ascii="Book Antiqua" w:eastAsia="Bookman Old Style" w:hAnsi="Book Antiqua" w:cs="Tahoma"/>
        </w:rPr>
        <w:t xml:space="preserve"> and the entity may use more than one such systems, as per its business decision.</w:t>
      </w:r>
    </w:p>
    <w:p w14:paraId="690D3106" w14:textId="33941808" w:rsidR="00BA5FBA" w:rsidRDefault="00BA5FBA" w:rsidP="00DC347B">
      <w:pPr>
        <w:pStyle w:val="paragraph"/>
        <w:numPr>
          <w:ilvl w:val="0"/>
          <w:numId w:val="21"/>
        </w:numPr>
        <w:tabs>
          <w:tab w:val="left" w:pos="720"/>
          <w:tab w:val="left" w:pos="1440"/>
          <w:tab w:val="left" w:pos="2160"/>
        </w:tabs>
        <w:spacing w:before="0" w:beforeAutospacing="0" w:after="240"/>
        <w:ind w:left="1440" w:hanging="720"/>
        <w:jc w:val="both"/>
        <w:rPr>
          <w:rFonts w:ascii="Book Antiqua" w:eastAsia="Bookman Old Style" w:hAnsi="Book Antiqua" w:cs="Tahoma"/>
        </w:rPr>
      </w:pPr>
      <w:r w:rsidRPr="00BA5FBA">
        <w:rPr>
          <w:rFonts w:ascii="Book Antiqua" w:eastAsia="Bookman Old Style" w:hAnsi="Book Antiqua" w:cs="Tahoma"/>
        </w:rPr>
        <w:t>For</w:t>
      </w:r>
      <w:r w:rsidR="00573D85" w:rsidRPr="00BA5FBA">
        <w:rPr>
          <w:rFonts w:ascii="Book Antiqua" w:eastAsia="Bookman Old Style" w:hAnsi="Book Antiqua" w:cs="Tahoma"/>
        </w:rPr>
        <w:t xml:space="preserve"> permitted channel, a</w:t>
      </w:r>
      <w:r w:rsidR="00E820A6" w:rsidRPr="00BA5FBA">
        <w:rPr>
          <w:rFonts w:ascii="Book Antiqua" w:eastAsia="Bookman Old Style" w:hAnsi="Book Antiqua" w:cs="Tahoma"/>
        </w:rPr>
        <w:t xml:space="preserve"> Ground-based Broadcaster </w:t>
      </w:r>
      <w:r w:rsidR="00573D85" w:rsidRPr="00BA5FBA">
        <w:rPr>
          <w:rFonts w:ascii="Book Antiqua" w:eastAsia="Bookman Old Style" w:hAnsi="Book Antiqua" w:cs="Tahoma"/>
        </w:rPr>
        <w:t>can switch to or additionally use satel</w:t>
      </w:r>
      <w:r>
        <w:rPr>
          <w:rFonts w:ascii="Book Antiqua" w:eastAsia="Bookman Old Style" w:hAnsi="Book Antiqua" w:cs="Tahoma"/>
        </w:rPr>
        <w:t xml:space="preserve">lite medium, and </w:t>
      </w:r>
      <w:r w:rsidRPr="00691268">
        <w:rPr>
          <w:rFonts w:ascii="Book Antiqua" w:eastAsia="Bookman Old Style" w:hAnsi="Book Antiqua" w:cs="Tahoma"/>
        </w:rPr>
        <w:t xml:space="preserve">Satellite-based Broadcaster (SBB) can switch to or additionally use terrestrial communication </w:t>
      </w:r>
      <w:r>
        <w:rPr>
          <w:rFonts w:ascii="Book Antiqua" w:eastAsia="Bookman Old Style" w:hAnsi="Book Antiqua" w:cs="Tahoma"/>
        </w:rPr>
        <w:t xml:space="preserve">medium for broadcasting </w:t>
      </w:r>
      <w:r w:rsidRPr="00BA5FBA">
        <w:rPr>
          <w:rFonts w:ascii="Book Antiqua" w:eastAsia="Bookman Old Style" w:hAnsi="Book Antiqua" w:cs="Tahoma"/>
        </w:rPr>
        <w:t xml:space="preserve">with due permission of </w:t>
      </w:r>
      <w:r w:rsidR="00573D85" w:rsidRPr="00BA5FBA">
        <w:rPr>
          <w:rFonts w:ascii="Book Antiqua" w:eastAsia="Bookman Old Style" w:hAnsi="Book Antiqua" w:cs="Tahoma"/>
        </w:rPr>
        <w:t>C</w:t>
      </w:r>
      <w:r w:rsidRPr="00BA5FBA">
        <w:rPr>
          <w:rFonts w:ascii="Book Antiqua" w:eastAsia="Bookman Old Style" w:hAnsi="Book Antiqua" w:cs="Tahoma"/>
        </w:rPr>
        <w:t xml:space="preserve">entral government. </w:t>
      </w:r>
    </w:p>
    <w:p w14:paraId="23C3FD81" w14:textId="4D3707FD" w:rsidR="002C6DCD" w:rsidRPr="00AA58D7" w:rsidRDefault="003D0650" w:rsidP="00AE261D">
      <w:pPr>
        <w:pStyle w:val="paragraph"/>
        <w:numPr>
          <w:ilvl w:val="1"/>
          <w:numId w:val="1"/>
        </w:numPr>
        <w:tabs>
          <w:tab w:val="left" w:pos="720"/>
          <w:tab w:val="left" w:pos="1440"/>
          <w:tab w:val="left" w:pos="2160"/>
        </w:tabs>
        <w:spacing w:before="240" w:after="240"/>
        <w:ind w:left="720" w:hanging="720"/>
        <w:jc w:val="both"/>
        <w:rPr>
          <w:rFonts w:ascii="Book Antiqua" w:eastAsia="Bookman Old Style" w:hAnsi="Book Antiqua" w:cs="Tahoma"/>
          <w:b/>
          <w:bCs/>
        </w:rPr>
      </w:pPr>
      <w:r w:rsidRPr="00AA58D7">
        <w:rPr>
          <w:rFonts w:ascii="Book Antiqua" w:eastAsia="Bookman Old Style" w:hAnsi="Book Antiqua" w:cs="Tahoma"/>
          <w:b/>
          <w:bCs/>
        </w:rPr>
        <w:t>Eo</w:t>
      </w:r>
      <w:r w:rsidR="002C6DCD" w:rsidRPr="00AA58D7">
        <w:rPr>
          <w:rFonts w:ascii="Book Antiqua" w:eastAsia="Bookman Old Style" w:hAnsi="Book Antiqua" w:cs="Tahoma"/>
          <w:b/>
          <w:bCs/>
        </w:rPr>
        <w:t>DB R</w:t>
      </w:r>
      <w:r w:rsidRPr="00AA58D7">
        <w:rPr>
          <w:rFonts w:ascii="Book Antiqua" w:eastAsia="Bookman Old Style" w:hAnsi="Book Antiqua" w:cs="Tahoma"/>
          <w:b/>
          <w:bCs/>
        </w:rPr>
        <w:t xml:space="preserve">ecommendations on Terms &amp; </w:t>
      </w:r>
      <w:r w:rsidR="002C6DCD" w:rsidRPr="00AA58D7">
        <w:rPr>
          <w:rFonts w:ascii="Book Antiqua" w:eastAsia="Bookman Old Style" w:hAnsi="Book Antiqua" w:cs="Tahoma"/>
          <w:b/>
          <w:bCs/>
        </w:rPr>
        <w:t>Conditions of Networ</w:t>
      </w:r>
      <w:r w:rsidRPr="00AA58D7">
        <w:rPr>
          <w:rFonts w:ascii="Book Antiqua" w:eastAsia="Bookman Old Style" w:hAnsi="Book Antiqua" w:cs="Tahoma"/>
          <w:b/>
          <w:bCs/>
        </w:rPr>
        <w:t>k Authorisations to be Granted u</w:t>
      </w:r>
      <w:r w:rsidR="002C6DCD" w:rsidRPr="00AA58D7">
        <w:rPr>
          <w:rFonts w:ascii="Book Antiqua" w:eastAsia="Bookman Old Style" w:hAnsi="Book Antiqua" w:cs="Tahoma"/>
          <w:b/>
          <w:bCs/>
        </w:rPr>
        <w:t>nder the Telecommunications Act, 2023</w:t>
      </w:r>
      <w:r w:rsidRPr="00AA58D7">
        <w:rPr>
          <w:rFonts w:ascii="Book Antiqua" w:eastAsia="Bookman Old Style" w:hAnsi="Book Antiqua" w:cs="Tahoma"/>
          <w:b/>
          <w:bCs/>
        </w:rPr>
        <w:t xml:space="preserve"> </w:t>
      </w:r>
      <w:r w:rsidR="00370E1A" w:rsidRPr="00AA58D7">
        <w:rPr>
          <w:rFonts w:ascii="Book Antiqua" w:eastAsia="Bookman Old Style" w:hAnsi="Book Antiqua" w:cs="Tahoma"/>
          <w:b/>
          <w:bCs/>
        </w:rPr>
        <w:t>[</w:t>
      </w:r>
      <w:r w:rsidR="00BA5FBA" w:rsidRPr="00AA58D7">
        <w:rPr>
          <w:rFonts w:ascii="Book Antiqua" w:eastAsia="Bookman Old Style" w:hAnsi="Book Antiqua" w:cs="Tahoma"/>
          <w:b/>
          <w:bCs/>
        </w:rPr>
        <w:t>Datd.</w:t>
      </w:r>
      <w:r w:rsidRPr="00AA58D7">
        <w:rPr>
          <w:rFonts w:ascii="Book Antiqua" w:eastAsia="Bookman Old Style" w:hAnsi="Book Antiqua" w:cs="Tahoma"/>
          <w:b/>
          <w:bCs/>
        </w:rPr>
        <w:t xml:space="preserve"> l7' Feb</w:t>
      </w:r>
      <w:r w:rsidR="002C6DCD" w:rsidRPr="00AA58D7">
        <w:rPr>
          <w:rFonts w:ascii="Book Antiqua" w:eastAsia="Bookman Old Style" w:hAnsi="Book Antiqua" w:cs="Tahoma"/>
          <w:b/>
          <w:bCs/>
        </w:rPr>
        <w:t>, 2025</w:t>
      </w:r>
      <w:r w:rsidR="00370E1A" w:rsidRPr="00AA58D7">
        <w:rPr>
          <w:rFonts w:ascii="Book Antiqua" w:eastAsia="Bookman Old Style" w:hAnsi="Book Antiqua" w:cs="Tahoma"/>
          <w:b/>
          <w:bCs/>
        </w:rPr>
        <w:t>]</w:t>
      </w:r>
      <w:r w:rsidR="002C6DCD" w:rsidRPr="00AA58D7">
        <w:rPr>
          <w:rFonts w:ascii="Book Antiqua" w:eastAsia="Bookman Old Style" w:hAnsi="Book Antiqua" w:cs="Tahoma"/>
          <w:b/>
          <w:bCs/>
        </w:rPr>
        <w:t xml:space="preserve"> </w:t>
      </w:r>
    </w:p>
    <w:p w14:paraId="33319758" w14:textId="402B2EB7" w:rsidR="00A80B4C" w:rsidRPr="00691268" w:rsidRDefault="00A80B4C" w:rsidP="00471C43">
      <w:pPr>
        <w:pStyle w:val="paragraph"/>
        <w:numPr>
          <w:ilvl w:val="0"/>
          <w:numId w:val="21"/>
        </w:numPr>
        <w:tabs>
          <w:tab w:val="left" w:pos="720"/>
          <w:tab w:val="left" w:pos="1440"/>
          <w:tab w:val="left" w:pos="2160"/>
        </w:tabs>
        <w:spacing w:before="0" w:beforeAutospacing="0" w:after="240"/>
        <w:ind w:left="1440" w:hanging="720"/>
        <w:jc w:val="both"/>
        <w:rPr>
          <w:rFonts w:ascii="Book Antiqua" w:eastAsia="Bookman Old Style" w:hAnsi="Book Antiqua" w:cs="Tahoma"/>
        </w:rPr>
      </w:pPr>
      <w:r w:rsidRPr="00691268">
        <w:rPr>
          <w:rFonts w:ascii="Book Antiqua" w:eastAsia="Bookman Old Style" w:hAnsi="Book Antiqua" w:cs="Tahoma"/>
        </w:rPr>
        <w:t xml:space="preserve">The Central Government </w:t>
      </w:r>
      <w:r w:rsidR="00367209" w:rsidRPr="00691268">
        <w:rPr>
          <w:rFonts w:ascii="Book Antiqua" w:eastAsia="Bookman Old Style" w:hAnsi="Book Antiqua" w:cs="Tahoma"/>
        </w:rPr>
        <w:t xml:space="preserve">to </w:t>
      </w:r>
      <w:r w:rsidRPr="00691268">
        <w:rPr>
          <w:rFonts w:ascii="Book Antiqua" w:eastAsia="Bookman Old Style" w:hAnsi="Book Antiqua" w:cs="Tahoma"/>
        </w:rPr>
        <w:t>grant network authorisations under section 3(1)(b) of the Telecommunications Act, 2023 instead of entering into an agreement with the entity.</w:t>
      </w:r>
    </w:p>
    <w:p w14:paraId="3896B9EE" w14:textId="14F2829E" w:rsidR="00A80B4C" w:rsidRPr="00691268" w:rsidRDefault="00A80B4C" w:rsidP="00471C43">
      <w:pPr>
        <w:pStyle w:val="paragraph"/>
        <w:numPr>
          <w:ilvl w:val="0"/>
          <w:numId w:val="21"/>
        </w:numPr>
        <w:tabs>
          <w:tab w:val="left" w:pos="720"/>
          <w:tab w:val="left" w:pos="1440"/>
          <w:tab w:val="left" w:pos="2160"/>
        </w:tabs>
        <w:spacing w:before="0" w:beforeAutospacing="0" w:after="240"/>
        <w:ind w:left="1440" w:hanging="720"/>
        <w:jc w:val="both"/>
        <w:rPr>
          <w:rFonts w:ascii="Book Antiqua" w:eastAsia="Bookman Old Style" w:hAnsi="Book Antiqua" w:cs="Tahoma"/>
        </w:rPr>
      </w:pPr>
      <w:r w:rsidRPr="00691268">
        <w:rPr>
          <w:rFonts w:ascii="Book Antiqua" w:eastAsia="Bookman Old Style" w:hAnsi="Book Antiqua" w:cs="Tahoma"/>
        </w:rPr>
        <w:t>The detailed terms and conditions of each network authorisation should be prescribed through the rules notified under Section 3(1)(b) of the Telecommunications Act, 2023.</w:t>
      </w:r>
    </w:p>
    <w:p w14:paraId="5D0CA03E" w14:textId="6C8AB8C5" w:rsidR="00731A9F" w:rsidRPr="00691268" w:rsidRDefault="00731A9F" w:rsidP="00471C43">
      <w:pPr>
        <w:pStyle w:val="paragraph"/>
        <w:numPr>
          <w:ilvl w:val="0"/>
          <w:numId w:val="21"/>
        </w:numPr>
        <w:tabs>
          <w:tab w:val="left" w:pos="720"/>
          <w:tab w:val="left" w:pos="1440"/>
          <w:tab w:val="left" w:pos="2160"/>
        </w:tabs>
        <w:spacing w:before="0" w:beforeAutospacing="0" w:after="240"/>
        <w:ind w:left="1440" w:hanging="720"/>
        <w:jc w:val="both"/>
        <w:rPr>
          <w:rFonts w:ascii="Book Antiqua" w:eastAsia="Bookman Old Style" w:hAnsi="Book Antiqua" w:cs="Tahoma"/>
        </w:rPr>
      </w:pPr>
      <w:r w:rsidRPr="003D0650">
        <w:rPr>
          <w:rFonts w:ascii="Book Antiqua" w:eastAsia="Bookman Old Style" w:hAnsi="Book Antiqua" w:cs="Tahoma"/>
          <w:b/>
          <w:bCs/>
        </w:rPr>
        <w:t>In-Building Solution (IBS):</w:t>
      </w:r>
      <w:r w:rsidRPr="00691268">
        <w:rPr>
          <w:rFonts w:ascii="Book Antiqua" w:eastAsia="Bookman Old Style" w:hAnsi="Book Antiqua" w:cs="Tahoma"/>
        </w:rPr>
        <w:t xml:space="preserve"> The property manager should be permitted to establish, operate, maintain, and e</w:t>
      </w:r>
      <w:r w:rsidR="003D0650">
        <w:rPr>
          <w:rFonts w:ascii="Book Antiqua" w:eastAsia="Bookman Old Style" w:hAnsi="Book Antiqua" w:cs="Tahoma"/>
        </w:rPr>
        <w:t>xpand in-building solution</w:t>
      </w:r>
      <w:r w:rsidRPr="00691268">
        <w:rPr>
          <w:rFonts w:ascii="Book Antiqua" w:eastAsia="Bookman Old Style" w:hAnsi="Book Antiqua" w:cs="Tahoma"/>
        </w:rPr>
        <w:t xml:space="preserve"> within the limits of a single building, compound, or </w:t>
      </w:r>
      <w:r w:rsidR="003D0650">
        <w:rPr>
          <w:rFonts w:ascii="Book Antiqua" w:eastAsia="Bookman Old Style" w:hAnsi="Book Antiqua" w:cs="Tahoma"/>
        </w:rPr>
        <w:t>estate, managed by it. For this</w:t>
      </w:r>
      <w:r w:rsidRPr="00691268">
        <w:rPr>
          <w:rFonts w:ascii="Book Antiqua" w:eastAsia="Bookman Old Style" w:hAnsi="Book Antiqua" w:cs="Tahoma"/>
        </w:rPr>
        <w:t xml:space="preserve">, </w:t>
      </w:r>
      <w:r w:rsidRPr="00C950D8">
        <w:rPr>
          <w:rFonts w:ascii="Book Antiqua" w:eastAsia="Bookman Old Style" w:hAnsi="Book Antiqua" w:cs="Tahoma"/>
        </w:rPr>
        <w:t>there should be no requirement</w:t>
      </w:r>
      <w:r w:rsidRPr="00691268">
        <w:rPr>
          <w:rFonts w:ascii="Book Antiqua" w:eastAsia="Bookman Old Style" w:hAnsi="Book Antiqua" w:cs="Tahoma"/>
        </w:rPr>
        <w:t xml:space="preserve"> of obtaining any authorisat</w:t>
      </w:r>
      <w:r w:rsidR="003D0650">
        <w:rPr>
          <w:rFonts w:ascii="Book Antiqua" w:eastAsia="Bookman Old Style" w:hAnsi="Book Antiqua" w:cs="Tahoma"/>
        </w:rPr>
        <w:t>ion from the Central Government.</w:t>
      </w:r>
    </w:p>
    <w:p w14:paraId="0187B7EF" w14:textId="77777777" w:rsidR="00C90E93" w:rsidRPr="00691268" w:rsidRDefault="009C18DA" w:rsidP="00471C43">
      <w:pPr>
        <w:pStyle w:val="paragraph"/>
        <w:numPr>
          <w:ilvl w:val="0"/>
          <w:numId w:val="21"/>
        </w:numPr>
        <w:tabs>
          <w:tab w:val="left" w:pos="720"/>
          <w:tab w:val="left" w:pos="1440"/>
          <w:tab w:val="left" w:pos="2160"/>
        </w:tabs>
        <w:spacing w:before="0" w:beforeAutospacing="0" w:after="240"/>
        <w:ind w:left="1440" w:hanging="720"/>
        <w:jc w:val="both"/>
        <w:rPr>
          <w:rFonts w:ascii="Book Antiqua" w:eastAsia="Bookman Old Style" w:hAnsi="Book Antiqua" w:cs="Tahoma"/>
        </w:rPr>
      </w:pPr>
      <w:r w:rsidRPr="003D0650">
        <w:rPr>
          <w:rFonts w:ascii="Book Antiqua" w:eastAsia="Bookman Old Style" w:hAnsi="Book Antiqua" w:cs="Tahoma"/>
          <w:b/>
          <w:bCs/>
        </w:rPr>
        <w:t>Content Delivery Networks (CDN):</w:t>
      </w:r>
      <w:r w:rsidRPr="00691268">
        <w:rPr>
          <w:rFonts w:ascii="Book Antiqua" w:eastAsia="Bookman Old Style" w:hAnsi="Book Antiqua" w:cs="Tahoma"/>
        </w:rPr>
        <w:t xml:space="preserve"> The establishment, operation, maintenance, and expansion of Content Delivery Networks (CDNs) should be authorisation-exempt under Section 3(3) of the Telecommunications Act, </w:t>
      </w:r>
    </w:p>
    <w:p w14:paraId="5E9B425F" w14:textId="4A1AD24F" w:rsidR="009C18DA" w:rsidRPr="00691268" w:rsidRDefault="00D47BA7" w:rsidP="00471C43">
      <w:pPr>
        <w:pStyle w:val="paragraph"/>
        <w:numPr>
          <w:ilvl w:val="0"/>
          <w:numId w:val="21"/>
        </w:numPr>
        <w:tabs>
          <w:tab w:val="left" w:pos="720"/>
          <w:tab w:val="left" w:pos="1440"/>
          <w:tab w:val="left" w:pos="2160"/>
        </w:tabs>
        <w:spacing w:before="0" w:beforeAutospacing="0" w:after="240"/>
        <w:ind w:left="1440" w:hanging="720"/>
        <w:jc w:val="both"/>
        <w:rPr>
          <w:rFonts w:ascii="Book Antiqua" w:eastAsia="Bookman Old Style" w:hAnsi="Book Antiqua" w:cs="Tahoma"/>
        </w:rPr>
      </w:pPr>
      <w:r w:rsidRPr="00DC347B">
        <w:rPr>
          <w:rFonts w:ascii="Book Antiqua" w:eastAsia="Bookman Old Style" w:hAnsi="Book Antiqua" w:cs="Tahoma"/>
          <w:b/>
          <w:bCs/>
        </w:rPr>
        <w:t xml:space="preserve">TRAI </w:t>
      </w:r>
      <w:r w:rsidR="00C90E93" w:rsidRPr="00DC347B">
        <w:rPr>
          <w:rFonts w:ascii="Book Antiqua" w:eastAsia="Bookman Old Style" w:hAnsi="Book Antiqua" w:cs="Tahoma"/>
          <w:b/>
          <w:bCs/>
        </w:rPr>
        <w:t>also recommended</w:t>
      </w:r>
      <w:r w:rsidR="00C90E93" w:rsidRPr="00691268">
        <w:rPr>
          <w:rFonts w:ascii="Book Antiqua" w:eastAsia="Bookman Old Style" w:hAnsi="Book Antiqua" w:cs="Tahoma"/>
        </w:rPr>
        <w:t xml:space="preserve"> a comprehensive framework for permitting smooth migration of existing entities holding Infrastructure Provider Category-I (IP-I) Registration and Mobile Number Portability Service Provider (MNPSP) License to the new network author</w:t>
      </w:r>
      <w:r>
        <w:rPr>
          <w:rFonts w:ascii="Book Antiqua" w:eastAsia="Bookman Old Style" w:hAnsi="Book Antiqua" w:cs="Tahoma"/>
        </w:rPr>
        <w:t>isation regime.</w:t>
      </w:r>
    </w:p>
    <w:p w14:paraId="6CEFAD1F" w14:textId="54161B1A" w:rsidR="002C6DCD" w:rsidRPr="003C2E65" w:rsidRDefault="003D0650" w:rsidP="003C2E65">
      <w:pPr>
        <w:pStyle w:val="paragraph"/>
        <w:numPr>
          <w:ilvl w:val="1"/>
          <w:numId w:val="1"/>
        </w:numPr>
        <w:tabs>
          <w:tab w:val="left" w:pos="720"/>
          <w:tab w:val="left" w:pos="1440"/>
          <w:tab w:val="left" w:pos="2160"/>
        </w:tabs>
        <w:spacing w:before="240" w:after="240"/>
        <w:ind w:left="720" w:hanging="720"/>
        <w:jc w:val="both"/>
        <w:rPr>
          <w:rFonts w:ascii="Book Antiqua" w:eastAsia="Bookman Old Style" w:hAnsi="Book Antiqua" w:cs="Tahoma"/>
          <w:b/>
          <w:bCs/>
          <w:sz w:val="20"/>
          <w:szCs w:val="20"/>
        </w:rPr>
      </w:pPr>
      <w:r w:rsidRPr="00AA58D7">
        <w:rPr>
          <w:rFonts w:ascii="Book Antiqua" w:eastAsia="Bookman Old Style" w:hAnsi="Book Antiqua" w:cs="Tahoma"/>
          <w:b/>
          <w:bCs/>
        </w:rPr>
        <w:t>Eo</w:t>
      </w:r>
      <w:r w:rsidR="00B36625" w:rsidRPr="00AA58D7">
        <w:rPr>
          <w:rFonts w:ascii="Book Antiqua" w:eastAsia="Bookman Old Style" w:hAnsi="Book Antiqua" w:cs="Tahoma"/>
          <w:b/>
          <w:bCs/>
        </w:rPr>
        <w:t>DB Recommendations on 'Framework for Service Authorisations for provision of</w:t>
      </w:r>
      <w:r w:rsidRPr="00AA58D7">
        <w:rPr>
          <w:rFonts w:ascii="Book Antiqua" w:eastAsia="Bookman Old Style" w:hAnsi="Book Antiqua" w:cs="Tahoma"/>
          <w:b/>
          <w:bCs/>
        </w:rPr>
        <w:t xml:space="preserve"> Broadcasting Services under </w:t>
      </w:r>
      <w:r w:rsidR="00AE261D" w:rsidRPr="00AA58D7">
        <w:rPr>
          <w:rFonts w:ascii="Book Antiqua" w:eastAsia="Bookman Old Style" w:hAnsi="Book Antiqua" w:cs="Tahoma"/>
          <w:b/>
          <w:bCs/>
        </w:rPr>
        <w:t>Telecom</w:t>
      </w:r>
      <w:r w:rsidR="00B36625" w:rsidRPr="00AA58D7">
        <w:rPr>
          <w:rFonts w:ascii="Book Antiqua" w:eastAsia="Bookman Old Style" w:hAnsi="Book Antiqua" w:cs="Tahoma"/>
          <w:b/>
          <w:bCs/>
        </w:rPr>
        <w:t xml:space="preserve"> Act, 2023 </w:t>
      </w:r>
      <w:r w:rsidR="00370E1A" w:rsidRPr="003C2E65">
        <w:rPr>
          <w:rFonts w:ascii="Book Antiqua" w:eastAsia="Bookman Old Style" w:hAnsi="Book Antiqua" w:cs="Tahoma"/>
          <w:b/>
          <w:bCs/>
          <w:sz w:val="20"/>
          <w:szCs w:val="20"/>
        </w:rPr>
        <w:t>[</w:t>
      </w:r>
      <w:r w:rsidR="009407D1" w:rsidRPr="003C2E65">
        <w:rPr>
          <w:rFonts w:ascii="Book Antiqua" w:eastAsia="Bookman Old Style" w:hAnsi="Book Antiqua" w:cs="Tahoma"/>
          <w:b/>
          <w:bCs/>
          <w:sz w:val="20"/>
          <w:szCs w:val="20"/>
        </w:rPr>
        <w:t xml:space="preserve">Dated </w:t>
      </w:r>
      <w:r w:rsidRPr="003C2E65">
        <w:rPr>
          <w:rFonts w:ascii="Book Antiqua" w:eastAsia="Bookman Old Style" w:hAnsi="Book Antiqua" w:cs="Tahoma"/>
          <w:b/>
          <w:bCs/>
          <w:sz w:val="20"/>
          <w:szCs w:val="20"/>
        </w:rPr>
        <w:t>21 Feb</w:t>
      </w:r>
      <w:r w:rsidR="00B36625" w:rsidRPr="003C2E65">
        <w:rPr>
          <w:rFonts w:ascii="Book Antiqua" w:eastAsia="Bookman Old Style" w:hAnsi="Book Antiqua" w:cs="Tahoma"/>
          <w:b/>
          <w:bCs/>
          <w:sz w:val="20"/>
          <w:szCs w:val="20"/>
        </w:rPr>
        <w:t xml:space="preserve"> 2025</w:t>
      </w:r>
      <w:r w:rsidR="00370E1A" w:rsidRPr="003C2E65">
        <w:rPr>
          <w:rFonts w:ascii="Book Antiqua" w:eastAsia="Bookman Old Style" w:hAnsi="Book Antiqua" w:cs="Tahoma"/>
          <w:b/>
          <w:bCs/>
          <w:sz w:val="20"/>
          <w:szCs w:val="20"/>
        </w:rPr>
        <w:t>]</w:t>
      </w:r>
    </w:p>
    <w:p w14:paraId="388DE775" w14:textId="77777777" w:rsidR="00E36A23" w:rsidRPr="00691268" w:rsidRDefault="00E36A23" w:rsidP="00471C43">
      <w:pPr>
        <w:pStyle w:val="paragraph"/>
        <w:numPr>
          <w:ilvl w:val="0"/>
          <w:numId w:val="21"/>
        </w:numPr>
        <w:tabs>
          <w:tab w:val="left" w:pos="720"/>
          <w:tab w:val="left" w:pos="1440"/>
          <w:tab w:val="left" w:pos="2160"/>
        </w:tabs>
        <w:spacing w:before="0" w:beforeAutospacing="0" w:after="240"/>
        <w:ind w:left="1440" w:hanging="720"/>
        <w:jc w:val="both"/>
        <w:rPr>
          <w:rFonts w:ascii="Book Antiqua" w:eastAsia="Bookman Old Style" w:hAnsi="Book Antiqua" w:cs="Tahoma"/>
        </w:rPr>
      </w:pPr>
      <w:r w:rsidRPr="00691268">
        <w:rPr>
          <w:rFonts w:ascii="Book Antiqua" w:eastAsia="Bookman Old Style" w:hAnsi="Book Antiqua" w:cs="Tahoma"/>
        </w:rPr>
        <w:t>Broadcasting service authorisations shall be granted under Section 3(1)(a) of the Telecommunications Act, 2023, in place of the extant practice of issuing license/permission under Section 4 of the Indian Telegraph Act, 1885.</w:t>
      </w:r>
    </w:p>
    <w:p w14:paraId="5617FD7A" w14:textId="7520A9BA" w:rsidR="00C7747C" w:rsidRPr="00691268" w:rsidRDefault="00E36A23" w:rsidP="00471C43">
      <w:pPr>
        <w:pStyle w:val="paragraph"/>
        <w:numPr>
          <w:ilvl w:val="0"/>
          <w:numId w:val="21"/>
        </w:numPr>
        <w:tabs>
          <w:tab w:val="left" w:pos="720"/>
          <w:tab w:val="left" w:pos="1440"/>
          <w:tab w:val="left" w:pos="2160"/>
        </w:tabs>
        <w:spacing w:before="0" w:beforeAutospacing="0" w:after="240"/>
        <w:ind w:left="1440" w:hanging="720"/>
        <w:jc w:val="both"/>
        <w:rPr>
          <w:rFonts w:ascii="Book Antiqua" w:eastAsia="Bookman Old Style" w:hAnsi="Book Antiqua" w:cs="Tahoma"/>
        </w:rPr>
      </w:pPr>
      <w:r w:rsidRPr="00691268">
        <w:rPr>
          <w:rFonts w:ascii="Book Antiqua" w:eastAsia="Bookman Old Style" w:hAnsi="Book Antiqua" w:cs="Tahoma"/>
        </w:rPr>
        <w:t xml:space="preserve">"Grant of service authorisation under Section 3(1)(a) should be in the form of an authorisation document containing essential details pertaining to the service. </w:t>
      </w:r>
    </w:p>
    <w:p w14:paraId="09F12415" w14:textId="78202C2F" w:rsidR="00ED4B3C" w:rsidRPr="00691268" w:rsidRDefault="00ED4B3C" w:rsidP="00471C43">
      <w:pPr>
        <w:pStyle w:val="paragraph"/>
        <w:numPr>
          <w:ilvl w:val="0"/>
          <w:numId w:val="21"/>
        </w:numPr>
        <w:tabs>
          <w:tab w:val="left" w:pos="720"/>
          <w:tab w:val="left" w:pos="1440"/>
          <w:tab w:val="left" w:pos="2160"/>
        </w:tabs>
        <w:spacing w:before="0" w:beforeAutospacing="0" w:after="240"/>
        <w:ind w:left="1440" w:hanging="720"/>
        <w:jc w:val="both"/>
        <w:rPr>
          <w:rFonts w:ascii="Book Antiqua" w:eastAsia="Bookman Old Style" w:hAnsi="Book Antiqua" w:cs="Tahoma"/>
        </w:rPr>
      </w:pPr>
      <w:r w:rsidRPr="00691268">
        <w:rPr>
          <w:rFonts w:ascii="Book Antiqua" w:eastAsia="Bookman Old Style" w:hAnsi="Book Antiqua" w:cs="Tahoma"/>
        </w:rPr>
        <w:t>The terms and conditions for service provisioning encompasses two parts, namely, 'Common Terms and Conditions' applicable to all broadcasting service authorisations and 'Specific Terms and Conditions' applicable to ser</w:t>
      </w:r>
      <w:r w:rsidR="00BA5FBA">
        <w:rPr>
          <w:rFonts w:ascii="Book Antiqua" w:eastAsia="Bookman Old Style" w:hAnsi="Book Antiqua" w:cs="Tahoma"/>
        </w:rPr>
        <w:t>vice specific authorisations.</w:t>
      </w:r>
    </w:p>
    <w:p w14:paraId="062F379D" w14:textId="3832278A" w:rsidR="00DA324B" w:rsidRPr="00691268" w:rsidRDefault="00E36A23" w:rsidP="00471C43">
      <w:pPr>
        <w:pStyle w:val="paragraph"/>
        <w:numPr>
          <w:ilvl w:val="0"/>
          <w:numId w:val="21"/>
        </w:numPr>
        <w:tabs>
          <w:tab w:val="left" w:pos="720"/>
          <w:tab w:val="left" w:pos="1440"/>
          <w:tab w:val="left" w:pos="2160"/>
        </w:tabs>
        <w:spacing w:before="0" w:beforeAutospacing="0" w:after="240"/>
        <w:ind w:left="1440" w:hanging="720"/>
        <w:jc w:val="both"/>
        <w:rPr>
          <w:rFonts w:ascii="Book Antiqua" w:eastAsia="Bookman Old Style" w:hAnsi="Book Antiqua" w:cs="Tahoma"/>
        </w:rPr>
      </w:pPr>
      <w:r w:rsidRPr="00691268">
        <w:rPr>
          <w:rFonts w:ascii="Book Antiqua" w:eastAsia="Bookman Old Style" w:hAnsi="Book Antiqua" w:cs="Tahoma"/>
        </w:rPr>
        <w:t xml:space="preserve">Migration of existing licensee/permission holder to new authorisation regime shall be voluntary, till the expiry of their license/permission. </w:t>
      </w:r>
      <w:r w:rsidRPr="00691268">
        <w:rPr>
          <w:rFonts w:ascii="Book Antiqua" w:eastAsia="Bookman Old Style" w:hAnsi="Book Antiqua" w:cs="Tahoma"/>
        </w:rPr>
        <w:lastRenderedPageBreak/>
        <w:t xml:space="preserve">Further, no processing fee or entry fee will be required for migration, in case of broadcasting services. </w:t>
      </w:r>
    </w:p>
    <w:p w14:paraId="01C6CAFB" w14:textId="778DC1F1" w:rsidR="0051163F" w:rsidRPr="00691268" w:rsidRDefault="0051163F" w:rsidP="00471C43">
      <w:pPr>
        <w:pStyle w:val="paragraph"/>
        <w:numPr>
          <w:ilvl w:val="0"/>
          <w:numId w:val="21"/>
        </w:numPr>
        <w:tabs>
          <w:tab w:val="left" w:pos="720"/>
          <w:tab w:val="left" w:pos="1440"/>
          <w:tab w:val="left" w:pos="2160"/>
        </w:tabs>
        <w:spacing w:before="0" w:beforeAutospacing="0" w:after="240"/>
        <w:ind w:left="1440" w:hanging="720"/>
        <w:jc w:val="both"/>
        <w:rPr>
          <w:rFonts w:ascii="Book Antiqua" w:eastAsia="Bookman Old Style" w:hAnsi="Book Antiqua" w:cs="Tahoma"/>
        </w:rPr>
      </w:pPr>
      <w:r w:rsidRPr="00691268">
        <w:rPr>
          <w:rFonts w:ascii="Book Antiqua" w:eastAsia="Bookman Old Style" w:hAnsi="Book Antiqua" w:cs="Tahoma"/>
        </w:rPr>
        <w:t>Infrastructure sharing, on voluntary basis, among broadcasting service providers as well as with the telecom service providers/infrastructure providers, wherever technically and commercially feasible, has been recommended.</w:t>
      </w:r>
    </w:p>
    <w:p w14:paraId="44B80E60" w14:textId="506F5657" w:rsidR="003B14BF" w:rsidRPr="00691268" w:rsidRDefault="003B14BF" w:rsidP="00471C43">
      <w:pPr>
        <w:pStyle w:val="paragraph"/>
        <w:numPr>
          <w:ilvl w:val="0"/>
          <w:numId w:val="21"/>
        </w:numPr>
        <w:tabs>
          <w:tab w:val="left" w:pos="720"/>
          <w:tab w:val="left" w:pos="1440"/>
          <w:tab w:val="left" w:pos="2160"/>
        </w:tabs>
        <w:spacing w:before="0" w:beforeAutospacing="0" w:after="240"/>
        <w:ind w:left="1440" w:hanging="720"/>
        <w:jc w:val="both"/>
        <w:rPr>
          <w:rFonts w:ascii="Book Antiqua" w:eastAsia="Bookman Old Style" w:hAnsi="Book Antiqua" w:cs="Tahoma"/>
        </w:rPr>
      </w:pPr>
      <w:r w:rsidRPr="00691268">
        <w:rPr>
          <w:rFonts w:ascii="Book Antiqua" w:eastAsia="Bookman Old Style" w:hAnsi="Book Antiqua" w:cs="Tahoma"/>
        </w:rPr>
        <w:t>Authorised entities of 'Television Channel Distribution Services' shall endeavour to adopt interoperable STBs to enhance consumer choice and reduce electronic waste.</w:t>
      </w:r>
    </w:p>
    <w:p w14:paraId="2CA40B94" w14:textId="4803B812" w:rsidR="00602AD7" w:rsidRPr="00EC06F9" w:rsidRDefault="00434AEF" w:rsidP="00434AEF">
      <w:pPr>
        <w:pStyle w:val="ListParagraph"/>
        <w:tabs>
          <w:tab w:val="left" w:pos="1440"/>
          <w:tab w:val="left" w:pos="2160"/>
        </w:tabs>
        <w:spacing w:line="240" w:lineRule="auto"/>
        <w:ind w:left="0"/>
        <w:rPr>
          <w:rFonts w:ascii="Book Antiqua" w:eastAsia="Bookman Old Style" w:hAnsi="Book Antiqua" w:cs="Tahoma"/>
          <w:b/>
          <w:bCs/>
          <w:sz w:val="24"/>
          <w:szCs w:val="24"/>
          <w:lang w:eastAsia="en-IN" w:bidi="hi-IN"/>
        </w:rPr>
      </w:pPr>
      <w:r>
        <w:rPr>
          <w:rFonts w:ascii="Book Antiqua" w:eastAsia="Bookman Old Style" w:hAnsi="Book Antiqua" w:cs="Tahoma"/>
          <w:b/>
          <w:bCs/>
          <w:sz w:val="24"/>
          <w:szCs w:val="24"/>
          <w:lang w:eastAsia="en-IN" w:bidi="hi-IN"/>
        </w:rPr>
        <w:t xml:space="preserve">  </w:t>
      </w:r>
      <w:r w:rsidR="00602AD7" w:rsidRPr="00EC06F9">
        <w:rPr>
          <w:rFonts w:ascii="Book Antiqua" w:eastAsia="Bookman Old Style" w:hAnsi="Book Antiqua" w:cs="Tahoma"/>
          <w:b/>
          <w:bCs/>
          <w:sz w:val="24"/>
          <w:szCs w:val="24"/>
          <w:lang w:eastAsia="en-IN" w:bidi="hi-IN"/>
        </w:rPr>
        <w:t xml:space="preserve">Steps taken to </w:t>
      </w:r>
      <w:r w:rsidR="008C508D" w:rsidRPr="00EC06F9">
        <w:rPr>
          <w:rFonts w:ascii="Book Antiqua" w:eastAsia="Bookman Old Style" w:hAnsi="Book Antiqua" w:cs="Tahoma"/>
          <w:b/>
          <w:bCs/>
          <w:sz w:val="24"/>
          <w:szCs w:val="24"/>
          <w:lang w:eastAsia="en-IN" w:bidi="hi-IN"/>
        </w:rPr>
        <w:t>E</w:t>
      </w:r>
      <w:r w:rsidR="00602AD7" w:rsidRPr="00EC06F9">
        <w:rPr>
          <w:rFonts w:ascii="Book Antiqua" w:eastAsia="Bookman Old Style" w:hAnsi="Book Antiqua" w:cs="Tahoma"/>
          <w:b/>
          <w:bCs/>
          <w:sz w:val="24"/>
          <w:szCs w:val="24"/>
          <w:lang w:eastAsia="en-IN" w:bidi="hi-IN"/>
        </w:rPr>
        <w:t>ase Data submissions by stakeholders</w:t>
      </w:r>
    </w:p>
    <w:p w14:paraId="2FAED46A" w14:textId="0D585094" w:rsidR="00580080" w:rsidRPr="00B31096" w:rsidRDefault="00580080" w:rsidP="00B31096">
      <w:pPr>
        <w:pStyle w:val="paragraph"/>
        <w:numPr>
          <w:ilvl w:val="0"/>
          <w:numId w:val="21"/>
        </w:numPr>
        <w:tabs>
          <w:tab w:val="left" w:pos="720"/>
          <w:tab w:val="left" w:pos="1440"/>
          <w:tab w:val="left" w:pos="2160"/>
        </w:tabs>
        <w:spacing w:before="0" w:beforeAutospacing="0" w:after="0" w:afterAutospacing="0"/>
        <w:ind w:left="1440" w:hanging="720"/>
        <w:jc w:val="both"/>
        <w:rPr>
          <w:rFonts w:ascii="Book Antiqua" w:eastAsia="Bookman Old Style" w:hAnsi="Book Antiqua" w:cs="Tahoma"/>
        </w:rPr>
      </w:pPr>
      <w:r w:rsidRPr="00691268">
        <w:rPr>
          <w:rFonts w:ascii="Book Antiqua" w:eastAsia="Bookman Old Style" w:hAnsi="Book Antiqua" w:cs="Tahoma"/>
        </w:rPr>
        <w:t xml:space="preserve">TRAI monitors the performance of telecom services through performance monitoring report (PMR) received from service providers in accordance with the directions/regulations. The data submissions were being done through email or storage </w:t>
      </w:r>
      <w:r w:rsidR="00B31096">
        <w:rPr>
          <w:rFonts w:ascii="Book Antiqua" w:eastAsia="Bookman Old Style" w:hAnsi="Book Antiqua" w:cs="Tahoma"/>
        </w:rPr>
        <w:t>media</w:t>
      </w:r>
      <w:r w:rsidR="009511AC">
        <w:rPr>
          <w:rFonts w:ascii="Book Antiqua" w:eastAsia="Bookman Old Style" w:hAnsi="Book Antiqua" w:cs="Tahoma"/>
        </w:rPr>
        <w:t>.</w:t>
      </w:r>
      <w:r w:rsidR="00B31096">
        <w:rPr>
          <w:rFonts w:ascii="Book Antiqua" w:eastAsia="Bookman Old Style" w:hAnsi="Book Antiqua" w:cs="Tahoma"/>
        </w:rPr>
        <w:t xml:space="preserve"> </w:t>
      </w:r>
      <w:r w:rsidRPr="00B31096">
        <w:rPr>
          <w:rFonts w:ascii="Book Antiqua" w:eastAsia="Bookman Old Style" w:hAnsi="Book Antiqua" w:cs="Tahoma"/>
        </w:rPr>
        <w:t>To ease the data submissions by stakehold</w:t>
      </w:r>
      <w:r w:rsidR="009B5552" w:rsidRPr="00B31096">
        <w:rPr>
          <w:rFonts w:ascii="Book Antiqua" w:eastAsia="Bookman Old Style" w:hAnsi="Book Antiqua" w:cs="Tahoma"/>
        </w:rPr>
        <w:t>ers, a web portal was developed</w:t>
      </w:r>
      <w:r w:rsidRPr="00B31096">
        <w:rPr>
          <w:rFonts w:ascii="Book Antiqua" w:eastAsia="Bookman Old Style" w:hAnsi="Book Antiqua" w:cs="Tahoma"/>
        </w:rPr>
        <w:t>. The portal is accessed by Telecom Services Providers (TSPs), Internet Service Providers (ISPs), Mobile Number Portability (MNP) operators, Virtual Network Operators (VNOs), International/National Long Distance (ILD/NLD) operators, etc.</w:t>
      </w:r>
    </w:p>
    <w:p w14:paraId="6117C152" w14:textId="248FF53A" w:rsidR="00580080" w:rsidRPr="00691268" w:rsidRDefault="00580080" w:rsidP="009B5552">
      <w:pPr>
        <w:pStyle w:val="paragraph"/>
        <w:numPr>
          <w:ilvl w:val="0"/>
          <w:numId w:val="21"/>
        </w:numPr>
        <w:tabs>
          <w:tab w:val="left" w:pos="720"/>
          <w:tab w:val="left" w:pos="1440"/>
          <w:tab w:val="left" w:pos="2160"/>
        </w:tabs>
        <w:spacing w:before="240" w:beforeAutospacing="0" w:after="240"/>
        <w:ind w:left="1440" w:hanging="720"/>
        <w:jc w:val="both"/>
        <w:rPr>
          <w:rFonts w:ascii="Book Antiqua" w:eastAsia="Bookman Old Style" w:hAnsi="Book Antiqua" w:cs="Tahoma"/>
        </w:rPr>
      </w:pPr>
      <w:r w:rsidRPr="00691268">
        <w:rPr>
          <w:rFonts w:ascii="Book Antiqua" w:eastAsia="Bookman Old Style" w:hAnsi="Book Antiqua" w:cs="Tahoma"/>
        </w:rPr>
        <w:t xml:space="preserve">The web portal facilitates stakeholder to upload, validate and verify their data for any non-compliance before final submission. Recently, IT division of TRAI has developed data APIs for collecting QoS monitoring data for </w:t>
      </w:r>
      <w:r w:rsidR="009B5552">
        <w:rPr>
          <w:rFonts w:ascii="Book Antiqua" w:eastAsia="Bookman Old Style" w:hAnsi="Book Antiqua" w:cs="Tahoma"/>
        </w:rPr>
        <w:t>wireless</w:t>
      </w:r>
      <w:r w:rsidRPr="00691268">
        <w:rPr>
          <w:rFonts w:ascii="Book Antiqua" w:eastAsia="Bookman Old Style" w:hAnsi="Book Antiqua" w:cs="Tahoma"/>
        </w:rPr>
        <w:t xml:space="preserve">, </w:t>
      </w:r>
      <w:r w:rsidR="009B5552">
        <w:rPr>
          <w:rFonts w:ascii="Book Antiqua" w:eastAsia="Bookman Old Style" w:hAnsi="Book Antiqua" w:cs="Tahoma"/>
        </w:rPr>
        <w:t>wireline and broadband wireline</w:t>
      </w:r>
      <w:r w:rsidRPr="00691268">
        <w:rPr>
          <w:rFonts w:ascii="Book Antiqua" w:eastAsia="Bookman Old Style" w:hAnsi="Book Antiqua" w:cs="Tahoma"/>
        </w:rPr>
        <w:t xml:space="preserve"> service. The access service</w:t>
      </w:r>
      <w:r w:rsidR="00841A22">
        <w:rPr>
          <w:rFonts w:ascii="Book Antiqua" w:eastAsia="Bookman Old Style" w:hAnsi="Book Antiqua" w:cs="Tahoma"/>
        </w:rPr>
        <w:t xml:space="preserve"> </w:t>
      </w:r>
      <w:r w:rsidRPr="00691268">
        <w:rPr>
          <w:rFonts w:ascii="Book Antiqua" w:eastAsia="Bookman Old Style" w:hAnsi="Book Antiqua" w:cs="Tahoma"/>
        </w:rPr>
        <w:t>(wireless) data APIs are handling data of around 15 million master cells. Against these master cells around 115 million data value points are collected by TRAI through portal on monthly basis. These data APIs have helped stakeholders to submit data seamlessly without much human intervention and can monitor real time data submission status. If there are any non-compliances in the data then the concerned divisions in TRAI subsequently are doing further activities manually.</w:t>
      </w:r>
    </w:p>
    <w:p w14:paraId="67604652" w14:textId="0286AEE2" w:rsidR="00580080" w:rsidRPr="00691268" w:rsidRDefault="00580080" w:rsidP="009B5552">
      <w:pPr>
        <w:pStyle w:val="paragraph"/>
        <w:numPr>
          <w:ilvl w:val="0"/>
          <w:numId w:val="21"/>
        </w:numPr>
        <w:tabs>
          <w:tab w:val="left" w:pos="720"/>
          <w:tab w:val="left" w:pos="1440"/>
          <w:tab w:val="left" w:pos="2160"/>
        </w:tabs>
        <w:spacing w:before="240" w:beforeAutospacing="0" w:after="240"/>
        <w:ind w:left="1440" w:hanging="720"/>
        <w:jc w:val="both"/>
        <w:rPr>
          <w:rFonts w:ascii="Book Antiqua" w:eastAsia="Bookman Old Style" w:hAnsi="Book Antiqua" w:cs="Tahoma"/>
        </w:rPr>
      </w:pPr>
      <w:r w:rsidRPr="00691268">
        <w:rPr>
          <w:rFonts w:ascii="Book Antiqua" w:eastAsia="Bookman Old Style" w:hAnsi="Book Antiqua" w:cs="Tahoma"/>
        </w:rPr>
        <w:t xml:space="preserve">TRAI is working on the </w:t>
      </w:r>
      <w:r w:rsidRPr="00C950D8">
        <w:rPr>
          <w:rFonts w:ascii="Book Antiqua" w:eastAsia="Bookman Old Style" w:hAnsi="Book Antiqua" w:cs="Tahoma"/>
        </w:rPr>
        <w:t>Comprehensive IT Ecosystem for Data Reporting, Analytics and process automation for ease of doing business (EoDB) for stakeholders in both Telecom &amp; Broadcasting sector</w:t>
      </w:r>
      <w:r w:rsidRPr="00691268">
        <w:rPr>
          <w:rFonts w:ascii="Book Antiqua" w:eastAsia="Bookman Old Style" w:hAnsi="Book Antiqua" w:cs="Tahoma"/>
        </w:rPr>
        <w:t xml:space="preserve">. The comprehensive IT ecosystem will use AI/ML technologies for generating data insights which will help TRAI in knowing the data compliances in near real time, view non-compliance data, issue show cause notice (SCN), impose financial disincentives (FD), etc. </w:t>
      </w:r>
    </w:p>
    <w:p w14:paraId="06BD0BEA" w14:textId="2EDCB914" w:rsidR="00901424" w:rsidRPr="00691268" w:rsidRDefault="00580080" w:rsidP="009B5552">
      <w:pPr>
        <w:pStyle w:val="paragraph"/>
        <w:numPr>
          <w:ilvl w:val="0"/>
          <w:numId w:val="21"/>
        </w:numPr>
        <w:tabs>
          <w:tab w:val="left" w:pos="720"/>
          <w:tab w:val="left" w:pos="1440"/>
          <w:tab w:val="left" w:pos="2160"/>
        </w:tabs>
        <w:spacing w:before="240" w:beforeAutospacing="0" w:after="240"/>
        <w:ind w:left="1440" w:hanging="720"/>
        <w:jc w:val="both"/>
        <w:rPr>
          <w:rFonts w:ascii="Book Antiqua" w:eastAsia="Bookman Old Style" w:hAnsi="Book Antiqua" w:cs="Tahoma"/>
        </w:rPr>
      </w:pPr>
      <w:r w:rsidRPr="00691268">
        <w:rPr>
          <w:rFonts w:ascii="Book Antiqua" w:eastAsia="Bookman Old Style" w:hAnsi="Book Antiqua" w:cs="Tahoma"/>
        </w:rPr>
        <w:t>The ecosystem will help stakeholders, for EoDB, to submit data comprehensively with features like role &amp; user management (stakeholders will be able to create their own users), automated data submissions</w:t>
      </w:r>
      <w:r w:rsidR="003938E1">
        <w:rPr>
          <w:rFonts w:ascii="Book Antiqua" w:eastAsia="Bookman Old Style" w:hAnsi="Book Antiqua" w:cs="Tahoma"/>
        </w:rPr>
        <w:t xml:space="preserve"> </w:t>
      </w:r>
      <w:r w:rsidRPr="00691268">
        <w:rPr>
          <w:rFonts w:ascii="Book Antiqua" w:eastAsia="Bookman Old Style" w:hAnsi="Book Antiqua" w:cs="Tahoma"/>
        </w:rPr>
        <w:t xml:space="preserve">(through data APIs), due-date reminder alerts, view &amp; track data status &amp; non-compliance on dashboard, digital signatures, </w:t>
      </w:r>
      <w:r w:rsidRPr="00691268">
        <w:rPr>
          <w:rFonts w:ascii="Book Antiqua" w:eastAsia="Bookman Old Style" w:hAnsi="Book Antiqua" w:cs="Tahoma"/>
        </w:rPr>
        <w:lastRenderedPageBreak/>
        <w:t xml:space="preserve">view/reply SCN, view FD, submit FD through online payments, track various audits as per regulatory requirements, etc. </w:t>
      </w:r>
    </w:p>
    <w:p w14:paraId="44BAD9E0" w14:textId="0275AE6C" w:rsidR="00127174" w:rsidRPr="00841A22" w:rsidRDefault="00B31096" w:rsidP="00434AEF">
      <w:pPr>
        <w:pStyle w:val="NormalWeb"/>
        <w:tabs>
          <w:tab w:val="left" w:pos="720"/>
          <w:tab w:val="left" w:pos="1440"/>
          <w:tab w:val="left" w:pos="2160"/>
        </w:tabs>
        <w:jc w:val="both"/>
        <w:rPr>
          <w:rFonts w:ascii="Book Antiqua" w:hAnsi="Book Antiqua"/>
          <w:b/>
          <w:color w:val="4F81BD" w:themeColor="accent1"/>
        </w:rPr>
      </w:pPr>
      <w:r>
        <w:rPr>
          <w:rFonts w:ascii="Book Antiqua" w:hAnsi="Book Antiqua"/>
          <w:b/>
          <w:u w:val="single"/>
        </w:rPr>
        <w:t xml:space="preserve"> </w:t>
      </w:r>
      <w:r w:rsidR="00434AEF">
        <w:rPr>
          <w:rFonts w:ascii="Book Antiqua" w:hAnsi="Book Antiqua"/>
          <w:b/>
          <w:u w:val="single"/>
        </w:rPr>
        <w:t>Current C</w:t>
      </w:r>
      <w:r w:rsidR="00127174" w:rsidRPr="009B5552">
        <w:rPr>
          <w:rFonts w:ascii="Book Antiqua" w:hAnsi="Book Antiqua"/>
          <w:b/>
          <w:u w:val="single"/>
        </w:rPr>
        <w:t>hallenges in implementing the Regulatory Reforms in Telecom sector</w:t>
      </w:r>
      <w:r w:rsidR="00841A22" w:rsidRPr="009B5552">
        <w:rPr>
          <w:rFonts w:ascii="Book Antiqua" w:hAnsi="Book Antiqua"/>
          <w:b/>
          <w:u w:val="single"/>
        </w:rPr>
        <w:t>:</w:t>
      </w:r>
      <w:r w:rsidR="00841A22">
        <w:rPr>
          <w:rFonts w:ascii="Book Antiqua" w:hAnsi="Book Antiqua"/>
          <w:b/>
        </w:rPr>
        <w:t xml:space="preserve"> </w:t>
      </w:r>
      <w:r w:rsidR="00AE261D">
        <w:rPr>
          <w:rFonts w:ascii="Book Antiqua" w:hAnsi="Book Antiqua"/>
          <w:b/>
        </w:rPr>
        <w:t xml:space="preserve">          </w:t>
      </w:r>
    </w:p>
    <w:p w14:paraId="4F454F33" w14:textId="77777777" w:rsidR="00127174" w:rsidRPr="00691268" w:rsidRDefault="00127174" w:rsidP="009B5552">
      <w:pPr>
        <w:pStyle w:val="ListParagraph"/>
        <w:numPr>
          <w:ilvl w:val="0"/>
          <w:numId w:val="23"/>
        </w:numPr>
        <w:tabs>
          <w:tab w:val="left" w:pos="1440"/>
          <w:tab w:val="left" w:pos="2160"/>
        </w:tabs>
        <w:spacing w:before="100" w:beforeAutospacing="1" w:after="100" w:afterAutospacing="1" w:line="240" w:lineRule="auto"/>
        <w:ind w:left="1440" w:hanging="720"/>
        <w:jc w:val="both"/>
        <w:rPr>
          <w:rFonts w:ascii="Book Antiqua" w:eastAsia="Times New Roman" w:hAnsi="Book Antiqua" w:cs="Times New Roman"/>
          <w:sz w:val="24"/>
          <w:szCs w:val="24"/>
          <w:lang w:eastAsia="en-IN"/>
        </w:rPr>
      </w:pPr>
      <w:r w:rsidRPr="00691268">
        <w:rPr>
          <w:rFonts w:ascii="Book Antiqua" w:eastAsia="Times New Roman" w:hAnsi="Book Antiqua" w:cs="Times New Roman"/>
          <w:b/>
          <w:bCs/>
          <w:sz w:val="24"/>
          <w:szCs w:val="24"/>
          <w:lang w:eastAsia="en-IN"/>
        </w:rPr>
        <w:t>Red Tape Overload/</w:t>
      </w:r>
      <w:r w:rsidRPr="00691268">
        <w:rPr>
          <w:rFonts w:ascii="Book Antiqua" w:hAnsi="Book Antiqua"/>
          <w:sz w:val="24"/>
          <w:szCs w:val="24"/>
        </w:rPr>
        <w:t xml:space="preserve"> </w:t>
      </w:r>
      <w:r w:rsidRPr="00691268">
        <w:rPr>
          <w:rFonts w:ascii="Book Antiqua" w:eastAsia="Times New Roman" w:hAnsi="Book Antiqua" w:cs="Times New Roman"/>
          <w:b/>
          <w:bCs/>
          <w:sz w:val="24"/>
          <w:szCs w:val="24"/>
          <w:lang w:eastAsia="en-IN"/>
        </w:rPr>
        <w:t>Regulatory overload</w:t>
      </w:r>
      <w:r w:rsidRPr="00691268">
        <w:rPr>
          <w:rFonts w:ascii="Book Antiqua" w:eastAsia="Times New Roman" w:hAnsi="Book Antiqua" w:cs="Times New Roman"/>
          <w:sz w:val="24"/>
          <w:szCs w:val="24"/>
          <w:lang w:eastAsia="en-IN"/>
        </w:rPr>
        <w:t>: The telecom sector faces a labyrinth/complexity of regulatory compliances, including spectrum allocation, licensing, and infrastructure approvals. This complexity increases operational costs and delays project execution, particularly for smaller telecom operators and start-ups.</w:t>
      </w:r>
    </w:p>
    <w:p w14:paraId="30FC35CA" w14:textId="77777777" w:rsidR="00127174" w:rsidRPr="00691268" w:rsidRDefault="00127174" w:rsidP="003642E0">
      <w:pPr>
        <w:pStyle w:val="ListParagraph"/>
        <w:numPr>
          <w:ilvl w:val="0"/>
          <w:numId w:val="23"/>
        </w:numPr>
        <w:tabs>
          <w:tab w:val="left" w:pos="1440"/>
          <w:tab w:val="left" w:pos="2160"/>
        </w:tabs>
        <w:spacing w:before="100" w:beforeAutospacing="1" w:after="100" w:afterAutospacing="1"/>
        <w:ind w:left="1440" w:hanging="720"/>
        <w:jc w:val="both"/>
        <w:rPr>
          <w:rFonts w:ascii="Book Antiqua" w:eastAsia="Times New Roman" w:hAnsi="Book Antiqua" w:cs="Times New Roman"/>
          <w:sz w:val="24"/>
          <w:szCs w:val="24"/>
          <w:lang w:eastAsia="en-IN"/>
        </w:rPr>
      </w:pPr>
      <w:r w:rsidRPr="00691268">
        <w:rPr>
          <w:rFonts w:ascii="Book Antiqua" w:eastAsia="Times New Roman" w:hAnsi="Book Antiqua" w:cs="Times New Roman"/>
          <w:b/>
          <w:bCs/>
          <w:sz w:val="24"/>
          <w:szCs w:val="24"/>
          <w:lang w:eastAsia="en-IN"/>
        </w:rPr>
        <w:t>Ease of Doing Business Mirage</w:t>
      </w:r>
      <w:r w:rsidRPr="00691268">
        <w:rPr>
          <w:rFonts w:ascii="Book Antiqua" w:eastAsia="Times New Roman" w:hAnsi="Book Antiqua" w:cs="Times New Roman"/>
          <w:sz w:val="24"/>
          <w:szCs w:val="24"/>
          <w:lang w:eastAsia="en-IN"/>
        </w:rPr>
        <w:t>: Despite improvements in India's Ease of Doing Business rankings, telecom companies still grapple with excessive penalties and subjective interpretations of regulations. This creates an unpredictable business environment, discouraging investment and innovation.</w:t>
      </w:r>
    </w:p>
    <w:p w14:paraId="56A84D30" w14:textId="77777777" w:rsidR="00127174" w:rsidRPr="00691268" w:rsidRDefault="00127174" w:rsidP="003642E0">
      <w:pPr>
        <w:pStyle w:val="NormalWeb"/>
        <w:numPr>
          <w:ilvl w:val="0"/>
          <w:numId w:val="23"/>
        </w:numPr>
        <w:tabs>
          <w:tab w:val="left" w:pos="1440"/>
          <w:tab w:val="left" w:pos="2160"/>
        </w:tabs>
        <w:spacing w:line="276" w:lineRule="auto"/>
        <w:ind w:left="1440" w:hanging="720"/>
        <w:jc w:val="both"/>
        <w:rPr>
          <w:rFonts w:ascii="Book Antiqua" w:hAnsi="Book Antiqua"/>
        </w:rPr>
      </w:pPr>
      <w:r w:rsidRPr="00691268">
        <w:rPr>
          <w:rFonts w:ascii="Book Antiqua" w:hAnsi="Book Antiqua"/>
          <w:b/>
          <w:bCs/>
        </w:rPr>
        <w:t>Legacy Laws</w:t>
      </w:r>
      <w:r w:rsidRPr="00691268">
        <w:rPr>
          <w:rFonts w:ascii="Book Antiqua" w:hAnsi="Book Antiqua"/>
        </w:rPr>
        <w:t xml:space="preserve">: </w:t>
      </w:r>
      <w:r w:rsidRPr="00691268">
        <w:rPr>
          <w:rFonts w:ascii="Book Antiqua" w:eastAsia="Bookman Old Style" w:hAnsi="Book Antiqua" w:cs="Tahoma"/>
          <w:lang w:bidi="hi-IN"/>
        </w:rPr>
        <w:t>The rapid pace of technological advancements, such as 5G, IoT and the development of 6G, requires continuous updates to regulatory frameworks which can be challenging to implement effectively.</w:t>
      </w:r>
      <w:r w:rsidRPr="00691268">
        <w:rPr>
          <w:rFonts w:ascii="Book Antiqua" w:hAnsi="Book Antiqua"/>
        </w:rPr>
        <w:t xml:space="preserve"> The overlap of central and state laws further complicates compliance, slowing sectoral growth.</w:t>
      </w:r>
    </w:p>
    <w:p w14:paraId="11A61D3B" w14:textId="77777777" w:rsidR="00127174" w:rsidRPr="00691268" w:rsidRDefault="00127174" w:rsidP="003642E0">
      <w:pPr>
        <w:pStyle w:val="NormalWeb"/>
        <w:numPr>
          <w:ilvl w:val="0"/>
          <w:numId w:val="23"/>
        </w:numPr>
        <w:tabs>
          <w:tab w:val="left" w:pos="1440"/>
          <w:tab w:val="left" w:pos="2160"/>
        </w:tabs>
        <w:spacing w:line="276" w:lineRule="auto"/>
        <w:ind w:left="1440" w:hanging="720"/>
        <w:jc w:val="both"/>
        <w:rPr>
          <w:rFonts w:ascii="Book Antiqua" w:eastAsia="Bookman Old Style" w:hAnsi="Book Antiqua" w:cs="Tahoma"/>
          <w:lang w:bidi="hi-IN"/>
        </w:rPr>
      </w:pPr>
      <w:r w:rsidRPr="00691268">
        <w:rPr>
          <w:rFonts w:ascii="Book Antiqua" w:hAnsi="Book Antiqua"/>
          <w:b/>
          <w:bCs/>
        </w:rPr>
        <w:t>Infrastructure Expansion</w:t>
      </w:r>
      <w:r w:rsidRPr="00691268">
        <w:rPr>
          <w:rFonts w:ascii="Book Antiqua" w:hAnsi="Book Antiqua"/>
        </w:rPr>
        <w:t xml:space="preserve">: </w:t>
      </w:r>
      <w:r w:rsidRPr="00691268">
        <w:rPr>
          <w:rFonts w:ascii="Book Antiqua" w:eastAsia="Bookman Old Style" w:hAnsi="Book Antiqua" w:cs="Tahoma"/>
          <w:lang w:bidi="hi-IN"/>
        </w:rPr>
        <w:t>Despite reforms, achieving universal broadband access and expanding telecom infrastructure to rural and underserved areas remains a significant challenge.</w:t>
      </w:r>
    </w:p>
    <w:p w14:paraId="2CBC1E67" w14:textId="77777777" w:rsidR="00127174" w:rsidRPr="00691268" w:rsidRDefault="00127174" w:rsidP="003642E0">
      <w:pPr>
        <w:pStyle w:val="NormalWeb"/>
        <w:numPr>
          <w:ilvl w:val="0"/>
          <w:numId w:val="23"/>
        </w:numPr>
        <w:tabs>
          <w:tab w:val="left" w:pos="1440"/>
          <w:tab w:val="left" w:pos="2160"/>
        </w:tabs>
        <w:spacing w:line="276" w:lineRule="auto"/>
        <w:ind w:left="1440" w:hanging="720"/>
        <w:jc w:val="both"/>
        <w:rPr>
          <w:rFonts w:ascii="Book Antiqua" w:eastAsia="Bookman Old Style" w:hAnsi="Book Antiqua" w:cs="Tahoma"/>
          <w:lang w:bidi="hi-IN"/>
        </w:rPr>
      </w:pPr>
      <w:r w:rsidRPr="00691268">
        <w:rPr>
          <w:rFonts w:ascii="Book Antiqua" w:hAnsi="Book Antiqua"/>
          <w:b/>
          <w:bCs/>
        </w:rPr>
        <w:t>Financial Constraints</w:t>
      </w:r>
      <w:r w:rsidRPr="00691268">
        <w:rPr>
          <w:rFonts w:ascii="Book Antiqua" w:hAnsi="Book Antiqua"/>
        </w:rPr>
        <w:t xml:space="preserve">: </w:t>
      </w:r>
      <w:r w:rsidRPr="00691268">
        <w:rPr>
          <w:rFonts w:ascii="Book Antiqua" w:eastAsia="Bookman Old Style" w:hAnsi="Book Antiqua" w:cs="Tahoma"/>
          <w:lang w:bidi="hi-IN"/>
        </w:rPr>
        <w:t>Telecom service providers often face liquidity issues, which can hinder their ability to invest in new technologies like 5G and comply with regulatory changes.</w:t>
      </w:r>
    </w:p>
    <w:p w14:paraId="47E71136" w14:textId="77777777" w:rsidR="00127174" w:rsidRPr="00691268" w:rsidRDefault="00127174" w:rsidP="003642E0">
      <w:pPr>
        <w:pStyle w:val="NormalWeb"/>
        <w:numPr>
          <w:ilvl w:val="0"/>
          <w:numId w:val="23"/>
        </w:numPr>
        <w:tabs>
          <w:tab w:val="left" w:pos="1440"/>
          <w:tab w:val="left" w:pos="2160"/>
        </w:tabs>
        <w:spacing w:line="276" w:lineRule="auto"/>
        <w:ind w:left="1440" w:hanging="720"/>
        <w:jc w:val="both"/>
        <w:rPr>
          <w:rFonts w:ascii="Book Antiqua" w:eastAsia="Bookman Old Style" w:hAnsi="Book Antiqua" w:cs="Tahoma"/>
          <w:lang w:bidi="hi-IN"/>
        </w:rPr>
      </w:pPr>
      <w:r w:rsidRPr="00691268">
        <w:rPr>
          <w:rFonts w:ascii="Book Antiqua" w:hAnsi="Book Antiqua"/>
          <w:b/>
          <w:bCs/>
        </w:rPr>
        <w:t>Spectrum Management</w:t>
      </w:r>
      <w:r w:rsidRPr="00691268">
        <w:rPr>
          <w:rFonts w:ascii="Book Antiqua" w:hAnsi="Book Antiqua"/>
        </w:rPr>
        <w:t xml:space="preserve">: </w:t>
      </w:r>
      <w:r w:rsidRPr="00691268">
        <w:rPr>
          <w:rFonts w:ascii="Book Antiqua" w:eastAsia="Bookman Old Style" w:hAnsi="Book Antiqua" w:cs="Tahoma"/>
          <w:lang w:bidi="hi-IN"/>
        </w:rPr>
        <w:t>Rationalizing spectrum usage charges and ensuring efficient allocation of spectrum for future technologies is a complex process.</w:t>
      </w:r>
    </w:p>
    <w:p w14:paraId="78176257" w14:textId="77777777" w:rsidR="00590738" w:rsidRDefault="00127174" w:rsidP="003642E0">
      <w:pPr>
        <w:pStyle w:val="NormalWeb"/>
        <w:numPr>
          <w:ilvl w:val="0"/>
          <w:numId w:val="23"/>
        </w:numPr>
        <w:tabs>
          <w:tab w:val="left" w:pos="1440"/>
          <w:tab w:val="left" w:pos="2160"/>
        </w:tabs>
        <w:spacing w:before="0" w:beforeAutospacing="0" w:after="240" w:line="276" w:lineRule="auto"/>
        <w:ind w:left="1440" w:hanging="720"/>
        <w:jc w:val="both"/>
        <w:rPr>
          <w:rFonts w:ascii="Book Antiqua" w:eastAsia="Bookman Old Style" w:hAnsi="Book Antiqua" w:cs="Tahoma"/>
        </w:rPr>
      </w:pPr>
      <w:r w:rsidRPr="00590738">
        <w:rPr>
          <w:rFonts w:ascii="Book Antiqua" w:hAnsi="Book Antiqua"/>
          <w:b/>
          <w:bCs/>
        </w:rPr>
        <w:t>Cybersecurity and Consumer Protection</w:t>
      </w:r>
      <w:r w:rsidRPr="00590738">
        <w:rPr>
          <w:rFonts w:ascii="Book Antiqua" w:hAnsi="Book Antiqua"/>
        </w:rPr>
        <w:t xml:space="preserve">: </w:t>
      </w:r>
      <w:r w:rsidRPr="00590738">
        <w:rPr>
          <w:rFonts w:ascii="Book Antiqua" w:eastAsia="Bookman Old Style" w:hAnsi="Book Antiqua" w:cs="Tahoma"/>
          <w:lang w:bidi="hi-IN"/>
        </w:rPr>
        <w:t>Empowering citizens to prevent misuse of telecom resources for cybercrime and financial frauds is an ongoing challenge. Balancing reforms to encourage competition while safeguarding consumer interests requires careful planning.</w:t>
      </w:r>
    </w:p>
    <w:p w14:paraId="194EEFA8" w14:textId="4EBAB519" w:rsidR="002C6DCD" w:rsidRPr="00590738" w:rsidRDefault="00127174" w:rsidP="003642E0">
      <w:pPr>
        <w:pStyle w:val="NormalWeb"/>
        <w:numPr>
          <w:ilvl w:val="0"/>
          <w:numId w:val="23"/>
        </w:numPr>
        <w:tabs>
          <w:tab w:val="left" w:pos="1440"/>
          <w:tab w:val="left" w:pos="2160"/>
        </w:tabs>
        <w:spacing w:before="0" w:beforeAutospacing="0" w:after="240" w:line="276" w:lineRule="auto"/>
        <w:ind w:left="1440" w:hanging="720"/>
        <w:jc w:val="both"/>
        <w:rPr>
          <w:rFonts w:ascii="Book Antiqua" w:eastAsia="Bookman Old Style" w:hAnsi="Book Antiqua" w:cs="Tahoma"/>
        </w:rPr>
      </w:pPr>
      <w:r w:rsidRPr="00590738">
        <w:rPr>
          <w:rFonts w:ascii="Book Antiqua" w:hAnsi="Book Antiqua"/>
          <w:b/>
          <w:bCs/>
        </w:rPr>
        <w:t>Stakeholder Alignment</w:t>
      </w:r>
      <w:r w:rsidRPr="00590738">
        <w:rPr>
          <w:rFonts w:ascii="Book Antiqua" w:hAnsi="Book Antiqua"/>
        </w:rPr>
        <w:t xml:space="preserve">: </w:t>
      </w:r>
      <w:r w:rsidRPr="00590738">
        <w:rPr>
          <w:rFonts w:ascii="Book Antiqua" w:eastAsia="Bookman Old Style" w:hAnsi="Book Antiqua" w:cs="Tahoma"/>
        </w:rPr>
        <w:t>Achieving consensus among diverse stakeholders, including telecom service providers, consumers, and policymakers, can delay the implementation of reforms</w:t>
      </w:r>
      <w:r w:rsidR="003642E0">
        <w:rPr>
          <w:rFonts w:ascii="Book Antiqua" w:eastAsia="Bookman Old Style" w:hAnsi="Book Antiqua" w:cs="Tahoma"/>
        </w:rPr>
        <w:t>.</w:t>
      </w:r>
    </w:p>
    <w:p w14:paraId="03B8811F" w14:textId="78128AD8" w:rsidR="00F35B79" w:rsidRPr="007B6AA6" w:rsidRDefault="00F35B79" w:rsidP="00B31096">
      <w:pPr>
        <w:pStyle w:val="paragraph"/>
        <w:tabs>
          <w:tab w:val="left" w:pos="720"/>
          <w:tab w:val="left" w:pos="1440"/>
          <w:tab w:val="left" w:pos="2160"/>
        </w:tabs>
        <w:spacing w:before="240" w:after="0" w:afterAutospacing="0" w:line="276" w:lineRule="auto"/>
        <w:jc w:val="both"/>
        <w:rPr>
          <w:rFonts w:ascii="Book Antiqua" w:eastAsia="Bookman Old Style" w:hAnsi="Book Antiqua" w:cs="Tahoma"/>
          <w:b/>
          <w:bCs/>
          <w:u w:val="single"/>
        </w:rPr>
      </w:pPr>
      <w:r w:rsidRPr="007B6AA6">
        <w:rPr>
          <w:rFonts w:ascii="Book Antiqua" w:eastAsia="Bookman Old Style" w:hAnsi="Book Antiqua" w:cs="Tahoma"/>
          <w:b/>
          <w:bCs/>
          <w:u w:val="single"/>
        </w:rPr>
        <w:t>Way Forward</w:t>
      </w:r>
    </w:p>
    <w:p w14:paraId="583E34E9" w14:textId="77777777" w:rsidR="00F35B79" w:rsidRPr="00691268" w:rsidRDefault="00F35B79" w:rsidP="00B31096">
      <w:pPr>
        <w:tabs>
          <w:tab w:val="left" w:pos="720"/>
          <w:tab w:val="left" w:pos="1440"/>
          <w:tab w:val="left" w:pos="2160"/>
        </w:tabs>
        <w:spacing w:after="0" w:line="240" w:lineRule="auto"/>
        <w:ind w:left="720"/>
        <w:jc w:val="both"/>
        <w:rPr>
          <w:rFonts w:ascii="Book Antiqua" w:eastAsia="Bookman Old Style" w:hAnsi="Book Antiqua" w:cs="Tahoma"/>
          <w:sz w:val="24"/>
          <w:szCs w:val="24"/>
        </w:rPr>
      </w:pPr>
      <w:r w:rsidRPr="00691268">
        <w:rPr>
          <w:rFonts w:ascii="Book Antiqua" w:eastAsia="Times New Roman" w:hAnsi="Book Antiqua" w:cs="Times New Roman"/>
          <w:b/>
          <w:bCs/>
          <w:sz w:val="24"/>
          <w:szCs w:val="24"/>
          <w:lang w:eastAsia="en-IN" w:bidi="hi-IN"/>
        </w:rPr>
        <w:t>Deregulation:</w:t>
      </w:r>
      <w:r w:rsidRPr="00691268">
        <w:rPr>
          <w:rFonts w:ascii="Book Antiqua" w:eastAsia="Times New Roman" w:hAnsi="Book Antiqua" w:cs="Times New Roman"/>
          <w:sz w:val="24"/>
          <w:szCs w:val="24"/>
          <w:lang w:eastAsia="en-IN" w:bidi="hi-IN"/>
        </w:rPr>
        <w:t xml:space="preserve"> The Economic Survey 2024-25, highlights deregulation as a key driver for economic growth, emphasizing the need to reduce regulatory complexity and shift towards risk-based governance.</w:t>
      </w:r>
      <w:r w:rsidRPr="00691268">
        <w:rPr>
          <w:rFonts w:ascii="Book Antiqua" w:eastAsia="Times New Roman" w:hAnsi="Book Antiqua" w:cs="Times New Roman"/>
          <w:sz w:val="24"/>
          <w:szCs w:val="24"/>
          <w:lang w:eastAsia="en-IN" w:bidi="hi-IN"/>
        </w:rPr>
        <w:br/>
        <w:t xml:space="preserve">Small deregulatory actions can trigger a ripple effect, leading to significant </w:t>
      </w:r>
      <w:r w:rsidRPr="00691268">
        <w:rPr>
          <w:rFonts w:ascii="Book Antiqua" w:eastAsia="Times New Roman" w:hAnsi="Book Antiqua" w:cs="Times New Roman"/>
          <w:sz w:val="24"/>
          <w:szCs w:val="24"/>
          <w:lang w:eastAsia="en-IN" w:bidi="hi-IN"/>
        </w:rPr>
        <w:lastRenderedPageBreak/>
        <w:t>gains in business competitiveness and growth.</w:t>
      </w:r>
      <w:r w:rsidRPr="00691268">
        <w:rPr>
          <w:rFonts w:ascii="Book Antiqua" w:hAnsi="Book Antiqua"/>
          <w:color w:val="28303D"/>
          <w:sz w:val="24"/>
          <w:szCs w:val="24"/>
          <w:shd w:val="clear" w:color="auto" w:fill="FFFFFF"/>
        </w:rPr>
        <w:t xml:space="preserve"> </w:t>
      </w:r>
      <w:r w:rsidRPr="00691268">
        <w:rPr>
          <w:rFonts w:ascii="Book Antiqua" w:eastAsia="Times New Roman" w:hAnsi="Book Antiqua" w:cs="Times New Roman"/>
          <w:sz w:val="24"/>
          <w:szCs w:val="24"/>
          <w:lang w:eastAsia="en-IN" w:bidi="hi-IN"/>
        </w:rPr>
        <w:t>Reducing excessive regulatory burdens is essential for unlocking India’s entrepreneurial potential and fostering high-wage job creation.</w:t>
      </w:r>
      <w:r w:rsidRPr="00691268">
        <w:rPr>
          <w:rFonts w:ascii="Book Antiqua" w:eastAsia="Bookman Old Style" w:hAnsi="Book Antiqua" w:cs="Tahoma"/>
          <w:sz w:val="24"/>
          <w:szCs w:val="24"/>
        </w:rPr>
        <w:t xml:space="preserve"> </w:t>
      </w:r>
    </w:p>
    <w:p w14:paraId="6580C6C1" w14:textId="2615A4DB" w:rsidR="00F35B79" w:rsidRPr="00691268" w:rsidRDefault="00F35B79" w:rsidP="009B5552">
      <w:pPr>
        <w:tabs>
          <w:tab w:val="left" w:pos="720"/>
          <w:tab w:val="left" w:pos="1440"/>
          <w:tab w:val="left" w:pos="2160"/>
        </w:tabs>
        <w:spacing w:line="240" w:lineRule="auto"/>
        <w:ind w:left="720"/>
        <w:jc w:val="both"/>
        <w:rPr>
          <w:rFonts w:ascii="Book Antiqua" w:eastAsia="Times New Roman" w:hAnsi="Book Antiqua" w:cs="Times New Roman"/>
          <w:sz w:val="24"/>
          <w:szCs w:val="24"/>
          <w:lang w:eastAsia="en-IN" w:bidi="hi-IN"/>
        </w:rPr>
      </w:pPr>
      <w:r w:rsidRPr="00691268">
        <w:rPr>
          <w:rFonts w:ascii="Book Antiqua" w:eastAsia="Times New Roman" w:hAnsi="Book Antiqua" w:cs="Times New Roman"/>
          <w:b/>
          <w:sz w:val="24"/>
          <w:szCs w:val="24"/>
          <w:lang w:eastAsia="en-IN" w:bidi="hi-IN"/>
        </w:rPr>
        <w:t>Periodic Review:</w:t>
      </w:r>
      <w:r w:rsidRPr="00691268">
        <w:rPr>
          <w:rFonts w:ascii="Book Antiqua" w:eastAsia="Times New Roman" w:hAnsi="Book Antiqua" w:cs="Times New Roman"/>
          <w:sz w:val="24"/>
          <w:szCs w:val="24"/>
          <w:lang w:eastAsia="en-IN" w:bidi="hi-IN"/>
        </w:rPr>
        <w:t xml:space="preserve"> Implement sunset clauses for all regulations, with a m</w:t>
      </w:r>
      <w:r w:rsidR="009133E3">
        <w:rPr>
          <w:rFonts w:ascii="Book Antiqua" w:eastAsia="Times New Roman" w:hAnsi="Book Antiqua" w:cs="Times New Roman"/>
          <w:sz w:val="24"/>
          <w:szCs w:val="24"/>
          <w:lang w:eastAsia="en-IN" w:bidi="hi-IN"/>
        </w:rPr>
        <w:t>andatory review every 5 years. TRAI</w:t>
      </w:r>
      <w:r w:rsidR="003938E1">
        <w:rPr>
          <w:rFonts w:ascii="Book Antiqua" w:eastAsia="Times New Roman" w:hAnsi="Book Antiqua" w:cs="Times New Roman"/>
          <w:sz w:val="24"/>
          <w:szCs w:val="24"/>
          <w:lang w:eastAsia="en-IN" w:bidi="hi-IN"/>
        </w:rPr>
        <w:t xml:space="preserve"> </w:t>
      </w:r>
      <w:r w:rsidRPr="00691268">
        <w:rPr>
          <w:rFonts w:ascii="Book Antiqua" w:eastAsia="Times New Roman" w:hAnsi="Book Antiqua" w:cs="Times New Roman"/>
          <w:sz w:val="24"/>
          <w:szCs w:val="24"/>
          <w:lang w:eastAsia="en-IN" w:bidi="hi-IN"/>
        </w:rPr>
        <w:t>periodically reviews its policies to align with technological advancements.</w:t>
      </w:r>
    </w:p>
    <w:p w14:paraId="257BA102" w14:textId="2A23A36A" w:rsidR="00F35B79" w:rsidRPr="009133E3" w:rsidRDefault="00F35B79" w:rsidP="009133E3">
      <w:pPr>
        <w:tabs>
          <w:tab w:val="left" w:pos="720"/>
          <w:tab w:val="left" w:pos="1440"/>
          <w:tab w:val="left" w:pos="2160"/>
        </w:tabs>
        <w:spacing w:after="0" w:line="240" w:lineRule="auto"/>
        <w:ind w:left="720"/>
        <w:jc w:val="both"/>
        <w:rPr>
          <w:rFonts w:ascii="Book Antiqua" w:eastAsia="Times New Roman" w:hAnsi="Book Antiqua" w:cs="Times New Roman"/>
          <w:sz w:val="24"/>
          <w:szCs w:val="24"/>
          <w:lang w:eastAsia="en-IN" w:bidi="hi-IN"/>
        </w:rPr>
      </w:pPr>
      <w:r w:rsidRPr="00691268">
        <w:rPr>
          <w:rFonts w:ascii="Book Antiqua" w:eastAsia="Times New Roman" w:hAnsi="Book Antiqua" w:cs="Times New Roman"/>
          <w:sz w:val="24"/>
          <w:szCs w:val="24"/>
          <w:lang w:eastAsia="en-IN" w:bidi="hi-IN"/>
        </w:rPr>
        <w:t xml:space="preserve">At TRAI, we believe that regulatory reforms should not be static—they must evolve to address emerging challenges and opportunities. </w:t>
      </w:r>
      <w:r w:rsidRPr="00691268">
        <w:rPr>
          <w:rFonts w:ascii="Book Antiqua" w:eastAsia="Bookman Old Style" w:hAnsi="Book Antiqua" w:cs="Tahoma"/>
          <w:sz w:val="24"/>
          <w:szCs w:val="24"/>
        </w:rPr>
        <w:t>Today, when regulatory measures are proposed or reviewed, government and regulators must generally ensure that-</w:t>
      </w:r>
      <w:r w:rsidR="009133E3">
        <w:rPr>
          <w:rFonts w:ascii="Book Antiqua" w:eastAsia="Times New Roman" w:hAnsi="Book Antiqua" w:cs="Times New Roman"/>
          <w:sz w:val="24"/>
          <w:szCs w:val="24"/>
          <w:lang w:eastAsia="en-IN" w:bidi="hi-IN"/>
        </w:rPr>
        <w:t xml:space="preserve">  </w:t>
      </w:r>
      <w:r w:rsidR="009133E3" w:rsidRPr="009133E3">
        <w:rPr>
          <w:rFonts w:ascii="Book Antiqua" w:eastAsia="Times New Roman" w:hAnsi="Book Antiqua" w:cs="Times New Roman"/>
          <w:b/>
          <w:bCs/>
          <w:sz w:val="24"/>
          <w:szCs w:val="24"/>
          <w:lang w:eastAsia="en-IN" w:bidi="hi-IN"/>
        </w:rPr>
        <w:t>i)</w:t>
      </w:r>
      <w:r w:rsidR="009133E3">
        <w:rPr>
          <w:rFonts w:ascii="Book Antiqua" w:eastAsia="Times New Roman" w:hAnsi="Book Antiqua" w:cs="Times New Roman"/>
          <w:sz w:val="24"/>
          <w:szCs w:val="24"/>
          <w:lang w:eastAsia="en-IN" w:bidi="hi-IN"/>
        </w:rPr>
        <w:t xml:space="preserve"> </w:t>
      </w:r>
      <w:r w:rsidR="009133E3">
        <w:rPr>
          <w:rFonts w:ascii="Book Antiqua" w:eastAsia="Bookman Old Style" w:hAnsi="Book Antiqua" w:cs="Tahoma"/>
          <w:sz w:val="24"/>
          <w:szCs w:val="24"/>
        </w:rPr>
        <w:t>t</w:t>
      </w:r>
      <w:r w:rsidRPr="009133E3">
        <w:rPr>
          <w:rFonts w:ascii="Book Antiqua" w:eastAsia="Bookman Old Style" w:hAnsi="Book Antiqua" w:cs="Tahoma"/>
          <w:sz w:val="24"/>
          <w:szCs w:val="24"/>
        </w:rPr>
        <w:t>here is a demonstrated need to regulate, and</w:t>
      </w:r>
      <w:r w:rsidR="00B31096" w:rsidRPr="009133E3">
        <w:rPr>
          <w:rFonts w:ascii="Book Antiqua" w:eastAsia="Bookman Old Style" w:hAnsi="Book Antiqua" w:cs="Tahoma"/>
          <w:sz w:val="24"/>
          <w:szCs w:val="24"/>
        </w:rPr>
        <w:t xml:space="preserve"> </w:t>
      </w:r>
      <w:r w:rsidR="009133E3" w:rsidRPr="009133E3">
        <w:rPr>
          <w:rFonts w:ascii="Book Antiqua" w:eastAsia="Bookman Old Style" w:hAnsi="Book Antiqua" w:cs="Tahoma"/>
          <w:b/>
          <w:bCs/>
          <w:sz w:val="24"/>
          <w:szCs w:val="24"/>
        </w:rPr>
        <w:t>ii)</w:t>
      </w:r>
      <w:r w:rsidR="009133E3">
        <w:rPr>
          <w:rFonts w:ascii="Book Antiqua" w:eastAsia="Bookman Old Style" w:hAnsi="Book Antiqua" w:cs="Tahoma"/>
          <w:sz w:val="24"/>
          <w:szCs w:val="24"/>
        </w:rPr>
        <w:t xml:space="preserve"> </w:t>
      </w:r>
      <w:r w:rsidR="00B31096" w:rsidRPr="009133E3">
        <w:rPr>
          <w:rFonts w:ascii="Book Antiqua" w:eastAsia="Bookman Old Style" w:hAnsi="Book Antiqua" w:cs="Tahoma"/>
          <w:sz w:val="24"/>
          <w:szCs w:val="24"/>
        </w:rPr>
        <w:t>t</w:t>
      </w:r>
      <w:r w:rsidRPr="009133E3">
        <w:rPr>
          <w:rFonts w:ascii="Book Antiqua" w:eastAsia="Bookman Old Style" w:hAnsi="Book Antiqua" w:cs="Tahoma"/>
          <w:sz w:val="24"/>
          <w:szCs w:val="24"/>
        </w:rPr>
        <w:t>he most efficient measure is selected to meet the specific regulatory objective.</w:t>
      </w:r>
    </w:p>
    <w:p w14:paraId="12DC9602" w14:textId="77777777" w:rsidR="00F35B79" w:rsidRPr="00691268" w:rsidRDefault="00F35B79" w:rsidP="009B5552">
      <w:pPr>
        <w:tabs>
          <w:tab w:val="left" w:pos="720"/>
          <w:tab w:val="left" w:pos="1440"/>
          <w:tab w:val="left" w:pos="2160"/>
        </w:tabs>
        <w:spacing w:after="0" w:line="240" w:lineRule="auto"/>
        <w:ind w:left="720"/>
        <w:jc w:val="both"/>
        <w:rPr>
          <w:rFonts w:ascii="Book Antiqua" w:hAnsi="Book Antiqua"/>
          <w:sz w:val="24"/>
          <w:szCs w:val="24"/>
        </w:rPr>
      </w:pPr>
      <w:r w:rsidRPr="00691268">
        <w:rPr>
          <w:rFonts w:ascii="Book Antiqua" w:eastAsia="Times New Roman" w:hAnsi="Book Antiqua" w:cs="Times New Roman"/>
          <w:b/>
          <w:sz w:val="24"/>
          <w:szCs w:val="24"/>
          <w:lang w:eastAsia="en-IN" w:bidi="hi-IN"/>
        </w:rPr>
        <w:t>Convergence of IT, Telecom &amp; Broadcasting</w:t>
      </w:r>
      <w:r w:rsidRPr="00691268">
        <w:rPr>
          <w:rFonts w:ascii="Book Antiqua" w:hAnsi="Book Antiqua"/>
          <w:b/>
          <w:bCs/>
          <w:sz w:val="24"/>
          <w:szCs w:val="24"/>
        </w:rPr>
        <w:t xml:space="preserve">: </w:t>
      </w:r>
      <w:r w:rsidRPr="00691268">
        <w:rPr>
          <w:rFonts w:ascii="Book Antiqua" w:hAnsi="Book Antiqua"/>
          <w:sz w:val="24"/>
          <w:szCs w:val="24"/>
        </w:rPr>
        <w:t xml:space="preserve">Presently there is fragmented set up and multiple agencies regulating and monitoring IT, Telecom and Broadcasting services. Convergence of IT, Telecom and Broadcasting sector and setting up of single regulator for all the three sectors will have following advantages: </w:t>
      </w:r>
    </w:p>
    <w:p w14:paraId="33737AC2" w14:textId="77AF5215" w:rsidR="00F35B79" w:rsidRPr="00691268" w:rsidRDefault="00F35B79" w:rsidP="009B5552">
      <w:pPr>
        <w:pStyle w:val="ListParagraph"/>
        <w:numPr>
          <w:ilvl w:val="0"/>
          <w:numId w:val="13"/>
        </w:numPr>
        <w:tabs>
          <w:tab w:val="left" w:pos="1440"/>
          <w:tab w:val="left" w:pos="2160"/>
        </w:tabs>
        <w:spacing w:after="0" w:line="240" w:lineRule="auto"/>
        <w:ind w:left="1440" w:hanging="720"/>
        <w:jc w:val="both"/>
        <w:rPr>
          <w:rFonts w:ascii="Book Antiqua" w:hAnsi="Book Antiqua"/>
          <w:sz w:val="24"/>
          <w:szCs w:val="24"/>
        </w:rPr>
      </w:pPr>
      <w:r w:rsidRPr="00691268">
        <w:rPr>
          <w:rFonts w:ascii="Book Antiqua" w:hAnsi="Book Antiqua"/>
          <w:sz w:val="24"/>
          <w:szCs w:val="24"/>
        </w:rPr>
        <w:t>A single regulator can establish a unified policy framework, simplifying the regulatory environment and reducing overlap between different sectors thus facilitating the growth of converged ser</w:t>
      </w:r>
      <w:r w:rsidR="00FA3819">
        <w:rPr>
          <w:rFonts w:ascii="Book Antiqua" w:hAnsi="Book Antiqua"/>
          <w:sz w:val="24"/>
          <w:szCs w:val="24"/>
        </w:rPr>
        <w:t xml:space="preserve">vices, promoting innovation, </w:t>
      </w:r>
      <w:r w:rsidRPr="00691268">
        <w:rPr>
          <w:rFonts w:ascii="Book Antiqua" w:hAnsi="Book Antiqua"/>
          <w:sz w:val="24"/>
          <w:szCs w:val="24"/>
        </w:rPr>
        <w:t>compe</w:t>
      </w:r>
      <w:r w:rsidR="00FA3819">
        <w:rPr>
          <w:rFonts w:ascii="Book Antiqua" w:hAnsi="Book Antiqua"/>
          <w:sz w:val="24"/>
          <w:szCs w:val="24"/>
        </w:rPr>
        <w:t xml:space="preserve">tition, </w:t>
      </w:r>
      <w:r w:rsidR="00841A22">
        <w:rPr>
          <w:rFonts w:ascii="Book Antiqua" w:hAnsi="Book Antiqua"/>
          <w:sz w:val="24"/>
          <w:szCs w:val="24"/>
        </w:rPr>
        <w:t>reducing the complexity.</w:t>
      </w:r>
    </w:p>
    <w:p w14:paraId="70392882" w14:textId="77777777" w:rsidR="00F35B79" w:rsidRPr="00691268" w:rsidRDefault="00F35B79" w:rsidP="009B5552">
      <w:pPr>
        <w:pStyle w:val="ListParagraph"/>
        <w:numPr>
          <w:ilvl w:val="0"/>
          <w:numId w:val="13"/>
        </w:numPr>
        <w:tabs>
          <w:tab w:val="left" w:pos="1440"/>
          <w:tab w:val="left" w:pos="2160"/>
        </w:tabs>
        <w:spacing w:after="0" w:line="240" w:lineRule="auto"/>
        <w:ind w:left="1440" w:hanging="720"/>
        <w:jc w:val="both"/>
        <w:rPr>
          <w:rFonts w:ascii="Book Antiqua" w:hAnsi="Book Antiqua"/>
          <w:sz w:val="24"/>
          <w:szCs w:val="24"/>
        </w:rPr>
      </w:pPr>
      <w:r w:rsidRPr="00691268">
        <w:rPr>
          <w:rFonts w:ascii="Book Antiqua" w:hAnsi="Book Antiqua"/>
          <w:sz w:val="24"/>
          <w:szCs w:val="24"/>
        </w:rPr>
        <w:t>A converged regulator can efficiently manage spectrum allocation, ensuring optimal utilization and minimizing interference between different services.</w:t>
      </w:r>
    </w:p>
    <w:p w14:paraId="22CFF923" w14:textId="77777777" w:rsidR="00955DCC" w:rsidRPr="00691268" w:rsidRDefault="00F35B79" w:rsidP="009B5552">
      <w:pPr>
        <w:pStyle w:val="ListParagraph"/>
        <w:numPr>
          <w:ilvl w:val="0"/>
          <w:numId w:val="13"/>
        </w:numPr>
        <w:tabs>
          <w:tab w:val="left" w:pos="1440"/>
          <w:tab w:val="left" w:pos="2160"/>
        </w:tabs>
        <w:spacing w:after="0" w:line="240" w:lineRule="auto"/>
        <w:ind w:left="1440" w:hanging="720"/>
        <w:jc w:val="both"/>
        <w:rPr>
          <w:rFonts w:ascii="Book Antiqua" w:hAnsi="Book Antiqua"/>
          <w:sz w:val="24"/>
          <w:szCs w:val="24"/>
        </w:rPr>
      </w:pPr>
      <w:r w:rsidRPr="00691268">
        <w:rPr>
          <w:rFonts w:ascii="Book Antiqua" w:hAnsi="Book Antiqua"/>
          <w:sz w:val="24"/>
          <w:szCs w:val="24"/>
        </w:rPr>
        <w:t>A single regulator can ensure a level playing field for all stakeholders, including telecom operators, broadcasters, and IT companies to promote fair competition.</w:t>
      </w:r>
    </w:p>
    <w:p w14:paraId="37B4B3F1" w14:textId="27A4BE7C" w:rsidR="00AE261D" w:rsidRPr="005441F4" w:rsidRDefault="00FA3819" w:rsidP="00AE261D">
      <w:pPr>
        <w:pStyle w:val="ListParagraph"/>
        <w:numPr>
          <w:ilvl w:val="0"/>
          <w:numId w:val="13"/>
        </w:numPr>
        <w:tabs>
          <w:tab w:val="left" w:pos="1440"/>
          <w:tab w:val="left" w:pos="2160"/>
        </w:tabs>
        <w:spacing w:after="0" w:line="240" w:lineRule="auto"/>
        <w:ind w:left="1440" w:hanging="720"/>
        <w:jc w:val="both"/>
        <w:rPr>
          <w:rFonts w:ascii="Book Antiqua" w:hAnsi="Book Antiqua"/>
        </w:rPr>
      </w:pPr>
      <w:r w:rsidRPr="00935D41">
        <w:rPr>
          <w:rFonts w:ascii="Book Antiqua" w:hAnsi="Book Antiqua"/>
          <w:sz w:val="24"/>
          <w:szCs w:val="24"/>
        </w:rPr>
        <w:t xml:space="preserve">Over 70% </w:t>
      </w:r>
      <w:r w:rsidR="00955DCC" w:rsidRPr="00935D41">
        <w:rPr>
          <w:rFonts w:ascii="Book Antiqua" w:hAnsi="Book Antiqua"/>
          <w:sz w:val="24"/>
          <w:szCs w:val="24"/>
        </w:rPr>
        <w:t>regulators worldwide were converged including FCC</w:t>
      </w:r>
      <w:r w:rsidR="00AE261D">
        <w:rPr>
          <w:rFonts w:ascii="Book Antiqua" w:hAnsi="Book Antiqua"/>
          <w:sz w:val="24"/>
          <w:szCs w:val="24"/>
        </w:rPr>
        <w:t xml:space="preserve"> (US), Ofcom</w:t>
      </w:r>
      <w:r w:rsidR="00955DCC" w:rsidRPr="00935D41">
        <w:rPr>
          <w:rFonts w:ascii="Book Antiqua" w:hAnsi="Book Antiqua"/>
          <w:sz w:val="24"/>
          <w:szCs w:val="24"/>
        </w:rPr>
        <w:t>(UK), ACMA</w:t>
      </w:r>
      <w:r w:rsidR="00AE261D">
        <w:rPr>
          <w:rFonts w:ascii="Book Antiqua" w:hAnsi="Book Antiqua"/>
          <w:sz w:val="24"/>
          <w:szCs w:val="24"/>
        </w:rPr>
        <w:t>(Australia), ICASA(South</w:t>
      </w:r>
      <w:r w:rsidR="0092596D">
        <w:rPr>
          <w:rFonts w:ascii="Book Antiqua" w:hAnsi="Book Antiqua"/>
          <w:sz w:val="24"/>
          <w:szCs w:val="24"/>
        </w:rPr>
        <w:t xml:space="preserve"> </w:t>
      </w:r>
      <w:r w:rsidR="00955DCC" w:rsidRPr="00935D41">
        <w:rPr>
          <w:rFonts w:ascii="Book Antiqua" w:hAnsi="Book Antiqua"/>
          <w:sz w:val="24"/>
          <w:szCs w:val="24"/>
        </w:rPr>
        <w:t xml:space="preserve">Africa), </w:t>
      </w:r>
      <w:r w:rsidR="00935D41" w:rsidRPr="00935D41">
        <w:rPr>
          <w:rFonts w:ascii="Book Antiqua" w:hAnsi="Book Antiqua"/>
          <w:sz w:val="24"/>
          <w:szCs w:val="24"/>
        </w:rPr>
        <w:t>IMDA(Singapore)</w:t>
      </w:r>
      <w:r w:rsidR="00AE261D">
        <w:rPr>
          <w:rFonts w:ascii="Book Antiqua" w:hAnsi="Book Antiqua"/>
          <w:sz w:val="24"/>
          <w:szCs w:val="24"/>
        </w:rPr>
        <w:t xml:space="preserve"> etc.</w:t>
      </w:r>
      <w:r w:rsidR="00AA58D7">
        <w:rPr>
          <w:rFonts w:ascii="Book Antiqua" w:hAnsi="Book Antiqua"/>
          <w:sz w:val="24"/>
          <w:szCs w:val="24"/>
        </w:rPr>
        <w:t xml:space="preserve"> </w:t>
      </w:r>
      <w:r w:rsidR="00955DCC" w:rsidRPr="00935D41">
        <w:rPr>
          <w:rFonts w:ascii="Book Antiqua" w:hAnsi="Book Antiqua"/>
          <w:sz w:val="24"/>
          <w:szCs w:val="24"/>
        </w:rPr>
        <w:t>Presently, ICT r</w:t>
      </w:r>
      <w:r w:rsidR="00935D41" w:rsidRPr="00935D41">
        <w:rPr>
          <w:rFonts w:ascii="Book Antiqua" w:hAnsi="Book Antiqua"/>
          <w:sz w:val="24"/>
          <w:szCs w:val="24"/>
        </w:rPr>
        <w:t xml:space="preserve">egulator not only deal with </w:t>
      </w:r>
      <w:r w:rsidR="00955DCC" w:rsidRPr="00935D41">
        <w:rPr>
          <w:rFonts w:ascii="Book Antiqua" w:hAnsi="Book Antiqua"/>
          <w:sz w:val="24"/>
          <w:szCs w:val="24"/>
        </w:rPr>
        <w:t xml:space="preserve">inherited functions but also deal with interdisciplinary regulatory frameworks, in alignment with economic </w:t>
      </w:r>
      <w:r w:rsidR="005441F4">
        <w:rPr>
          <w:rFonts w:ascii="Book Antiqua" w:hAnsi="Book Antiqua"/>
          <w:sz w:val="24"/>
          <w:szCs w:val="24"/>
        </w:rPr>
        <w:t xml:space="preserve">&amp; social policy goals. </w:t>
      </w:r>
      <w:r w:rsidR="005441F4" w:rsidRPr="005441F4">
        <w:rPr>
          <w:rFonts w:ascii="Book Antiqua" w:hAnsi="Book Antiqua"/>
        </w:rPr>
        <w:t>(Example: O</w:t>
      </w:r>
      <w:r w:rsidR="00955DCC" w:rsidRPr="005441F4">
        <w:rPr>
          <w:rFonts w:ascii="Book Antiqua" w:hAnsi="Book Antiqua"/>
        </w:rPr>
        <w:t>nline protection of minors, priva</w:t>
      </w:r>
      <w:r w:rsidR="00935D41" w:rsidRPr="005441F4">
        <w:rPr>
          <w:rFonts w:ascii="Book Antiqua" w:hAnsi="Book Antiqua"/>
        </w:rPr>
        <w:t xml:space="preserve">cy and intellectual property). </w:t>
      </w:r>
    </w:p>
    <w:p w14:paraId="5E69470B" w14:textId="77777777" w:rsidR="009511AC" w:rsidRDefault="009511AC" w:rsidP="00EE704E">
      <w:pPr>
        <w:tabs>
          <w:tab w:val="left" w:pos="1440"/>
          <w:tab w:val="left" w:pos="2160"/>
        </w:tabs>
        <w:spacing w:after="0" w:line="240" w:lineRule="auto"/>
        <w:jc w:val="both"/>
        <w:rPr>
          <w:rFonts w:ascii="Book Antiqua" w:hAnsi="Book Antiqua"/>
          <w:sz w:val="24"/>
          <w:szCs w:val="24"/>
        </w:rPr>
      </w:pPr>
    </w:p>
    <w:p w14:paraId="2901700D" w14:textId="5893D109" w:rsidR="00F35B79" w:rsidRDefault="00F35B79" w:rsidP="00EE704E">
      <w:pPr>
        <w:tabs>
          <w:tab w:val="left" w:pos="1440"/>
          <w:tab w:val="left" w:pos="2160"/>
        </w:tabs>
        <w:spacing w:after="0" w:line="240" w:lineRule="auto"/>
        <w:jc w:val="both"/>
        <w:rPr>
          <w:rFonts w:ascii="Book Antiqua" w:hAnsi="Book Antiqua"/>
          <w:sz w:val="24"/>
          <w:szCs w:val="24"/>
        </w:rPr>
      </w:pPr>
      <w:r w:rsidRPr="00AE261D">
        <w:rPr>
          <w:rFonts w:ascii="Book Antiqua" w:hAnsi="Book Antiqua"/>
          <w:sz w:val="24"/>
          <w:szCs w:val="24"/>
        </w:rPr>
        <w:t>The potential growth in GDP requires a concerted focus on deregulation, innovation, and simplifying the regulatory framework. As we navigate the future, collaboration remains key. We must continue to engage with industry stakeholders, policymakers, and global leaders to adopt best practices.</w:t>
      </w:r>
    </w:p>
    <w:p w14:paraId="39C73B02" w14:textId="77777777" w:rsidR="00107FDA" w:rsidRPr="00AE261D" w:rsidRDefault="00107FDA" w:rsidP="00EE704E">
      <w:pPr>
        <w:tabs>
          <w:tab w:val="left" w:pos="1440"/>
          <w:tab w:val="left" w:pos="2160"/>
        </w:tabs>
        <w:spacing w:after="0" w:line="240" w:lineRule="auto"/>
        <w:jc w:val="both"/>
        <w:rPr>
          <w:rFonts w:ascii="Book Antiqua" w:hAnsi="Book Antiqua"/>
          <w:sz w:val="24"/>
          <w:szCs w:val="24"/>
        </w:rPr>
      </w:pPr>
    </w:p>
    <w:p w14:paraId="417F1D5C" w14:textId="58265E47" w:rsidR="00107FDA" w:rsidRPr="005441F4" w:rsidRDefault="00F35B79" w:rsidP="005441F4">
      <w:pPr>
        <w:tabs>
          <w:tab w:val="left" w:pos="1440"/>
          <w:tab w:val="left" w:pos="2160"/>
        </w:tabs>
        <w:spacing w:after="0" w:line="240" w:lineRule="auto"/>
        <w:jc w:val="both"/>
        <w:rPr>
          <w:rFonts w:ascii="Book Antiqua" w:hAnsi="Book Antiqua"/>
          <w:sz w:val="24"/>
          <w:szCs w:val="24"/>
        </w:rPr>
      </w:pPr>
      <w:r w:rsidRPr="00107FDA">
        <w:rPr>
          <w:rFonts w:ascii="Book Antiqua" w:hAnsi="Book Antiqua"/>
          <w:b/>
          <w:bCs/>
          <w:sz w:val="24"/>
          <w:szCs w:val="24"/>
        </w:rPr>
        <w:t>Conclusion</w:t>
      </w:r>
      <w:r w:rsidR="00107FDA">
        <w:rPr>
          <w:rFonts w:ascii="Book Antiqua" w:hAnsi="Book Antiqua"/>
          <w:b/>
          <w:bCs/>
          <w:sz w:val="24"/>
          <w:szCs w:val="24"/>
        </w:rPr>
        <w:t>:</w:t>
      </w:r>
      <w:r w:rsidR="00107FDA" w:rsidRPr="00107FDA">
        <w:rPr>
          <w:rFonts w:ascii="Book Antiqua" w:hAnsi="Book Antiqua"/>
          <w:sz w:val="24"/>
          <w:szCs w:val="24"/>
        </w:rPr>
        <w:t xml:space="preserve"> India has witnessed commendable progress through its regulatory reforms in the telecom sector. However, there is still a long way to go. By focusing on simplification, and digitization, India can create a business-friendly environment that fosters innovation, entrepreneurship, and economi</w:t>
      </w:r>
      <w:r w:rsidR="00107FDA">
        <w:rPr>
          <w:rFonts w:ascii="Book Antiqua" w:hAnsi="Book Antiqua"/>
          <w:sz w:val="24"/>
          <w:szCs w:val="24"/>
        </w:rPr>
        <w:t xml:space="preserve">c growth. The Economic Survey 24-25 and Union Budget </w:t>
      </w:r>
      <w:r w:rsidR="00107FDA" w:rsidRPr="00107FDA">
        <w:rPr>
          <w:rFonts w:ascii="Book Antiqua" w:hAnsi="Book Antiqua"/>
          <w:sz w:val="24"/>
          <w:szCs w:val="24"/>
        </w:rPr>
        <w:t>24</w:t>
      </w:r>
      <w:r w:rsidR="00107FDA">
        <w:rPr>
          <w:rFonts w:ascii="Book Antiqua" w:hAnsi="Book Antiqua"/>
          <w:sz w:val="24"/>
          <w:szCs w:val="24"/>
        </w:rPr>
        <w:t>-25 provide a clear roadmap,</w:t>
      </w:r>
      <w:r w:rsidR="00107FDA" w:rsidRPr="00691268">
        <w:rPr>
          <w:rFonts w:ascii="Book Antiqua" w:eastAsia="Bookman Old Style" w:hAnsi="Book Antiqua" w:cs="Tahoma"/>
        </w:rPr>
        <w:t xml:space="preserve"> but achieving the vision of a Viksit Bharat will depend on timely execution and strong political commitment.</w:t>
      </w:r>
      <w:r w:rsidR="00107FDA" w:rsidRPr="00691268">
        <w:rPr>
          <w:rFonts w:ascii="Book Antiqua" w:hAnsi="Book Antiqua"/>
        </w:rPr>
        <w:t xml:space="preserve"> </w:t>
      </w:r>
      <w:r w:rsidR="00107FDA">
        <w:rPr>
          <w:rFonts w:ascii="Book Antiqua" w:hAnsi="Book Antiqua"/>
        </w:rPr>
        <w:t xml:space="preserve">We should </w:t>
      </w:r>
      <w:r w:rsidR="00107FDA" w:rsidRPr="00107FDA">
        <w:rPr>
          <w:rFonts w:ascii="Book Antiqua" w:hAnsi="Book Antiqua"/>
          <w:sz w:val="24"/>
          <w:szCs w:val="24"/>
        </w:rPr>
        <w:t xml:space="preserve">work together to ensure that regulatory reforms remain a catalyst for innovation, inclusion, and sustainability. </w:t>
      </w:r>
    </w:p>
    <w:sectPr w:rsidR="00107FDA" w:rsidRPr="005441F4">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E79AB5" w14:textId="77777777" w:rsidR="00323BCF" w:rsidRDefault="00323BCF" w:rsidP="00837E59">
      <w:pPr>
        <w:spacing w:after="0" w:line="240" w:lineRule="auto"/>
      </w:pPr>
      <w:r>
        <w:separator/>
      </w:r>
    </w:p>
  </w:endnote>
  <w:endnote w:type="continuationSeparator" w:id="0">
    <w:p w14:paraId="72AD066E" w14:textId="77777777" w:rsidR="00323BCF" w:rsidRDefault="00323BCF" w:rsidP="00837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1183311"/>
      <w:docPartObj>
        <w:docPartGallery w:val="Page Numbers (Bottom of Page)"/>
        <w:docPartUnique/>
      </w:docPartObj>
    </w:sdtPr>
    <w:sdtEndPr/>
    <w:sdtContent>
      <w:sdt>
        <w:sdtPr>
          <w:id w:val="1728636285"/>
          <w:docPartObj>
            <w:docPartGallery w:val="Page Numbers (Top of Page)"/>
            <w:docPartUnique/>
          </w:docPartObj>
        </w:sdtPr>
        <w:sdtEndPr/>
        <w:sdtContent>
          <w:p w14:paraId="592DCF77" w14:textId="3828D2E8" w:rsidR="007E53EE" w:rsidRDefault="007E53E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9A574D">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A574D">
              <w:rPr>
                <w:b/>
                <w:bCs/>
                <w:noProof/>
              </w:rPr>
              <w:t>6</w:t>
            </w:r>
            <w:r>
              <w:rPr>
                <w:b/>
                <w:bCs/>
                <w:sz w:val="24"/>
                <w:szCs w:val="24"/>
              </w:rPr>
              <w:fldChar w:fldCharType="end"/>
            </w:r>
          </w:p>
        </w:sdtContent>
      </w:sdt>
    </w:sdtContent>
  </w:sdt>
  <w:p w14:paraId="4AC94FE5" w14:textId="77777777" w:rsidR="007E53EE" w:rsidRDefault="007E53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E64121" w14:textId="77777777" w:rsidR="00323BCF" w:rsidRDefault="00323BCF" w:rsidP="00837E59">
      <w:pPr>
        <w:spacing w:after="0" w:line="240" w:lineRule="auto"/>
      </w:pPr>
      <w:r>
        <w:separator/>
      </w:r>
    </w:p>
  </w:footnote>
  <w:footnote w:type="continuationSeparator" w:id="0">
    <w:p w14:paraId="292A259E" w14:textId="77777777" w:rsidR="00323BCF" w:rsidRDefault="00323BCF" w:rsidP="00837E59">
      <w:pPr>
        <w:spacing w:after="0" w:line="240" w:lineRule="auto"/>
      </w:pPr>
      <w:r>
        <w:continuationSeparator/>
      </w:r>
    </w:p>
  </w:footnote>
  <w:footnote w:id="1">
    <w:p w14:paraId="3C6EF235" w14:textId="77777777" w:rsidR="00164270" w:rsidRPr="009B5552" w:rsidRDefault="00164270" w:rsidP="00164270">
      <w:pPr>
        <w:pStyle w:val="FootnoteText"/>
        <w:rPr>
          <w:sz w:val="18"/>
          <w:szCs w:val="18"/>
          <w:lang w:val="en-US"/>
        </w:rPr>
      </w:pPr>
      <w:r w:rsidRPr="009B5552">
        <w:rPr>
          <w:rStyle w:val="FootnoteReference"/>
          <w:sz w:val="18"/>
          <w:szCs w:val="18"/>
        </w:rPr>
        <w:footnoteRef/>
      </w:r>
      <w:r w:rsidRPr="009B5552">
        <w:rPr>
          <w:sz w:val="18"/>
          <w:szCs w:val="18"/>
        </w:rPr>
        <w:t xml:space="preserve"> </w:t>
      </w:r>
      <w:hyperlink r:id="rId1" w:history="1">
        <w:r w:rsidRPr="009B5552">
          <w:rPr>
            <w:rStyle w:val="Hyperlink"/>
            <w:sz w:val="18"/>
            <w:szCs w:val="18"/>
          </w:rPr>
          <w:t>https://www.indiabudget.gov.in/economicsurvey/doc/echapter.pdf</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E7271"/>
    <w:multiLevelType w:val="hybridMultilevel"/>
    <w:tmpl w:val="5E927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B22D44"/>
    <w:multiLevelType w:val="hybridMultilevel"/>
    <w:tmpl w:val="687838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B740D61"/>
    <w:multiLevelType w:val="hybridMultilevel"/>
    <w:tmpl w:val="DA92B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D80C6E"/>
    <w:multiLevelType w:val="hybridMultilevel"/>
    <w:tmpl w:val="1A72D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B10BB3"/>
    <w:multiLevelType w:val="hybridMultilevel"/>
    <w:tmpl w:val="03CAB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E927DC"/>
    <w:multiLevelType w:val="hybridMultilevel"/>
    <w:tmpl w:val="DE783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9B286F"/>
    <w:multiLevelType w:val="hybridMultilevel"/>
    <w:tmpl w:val="B3A682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C940724"/>
    <w:multiLevelType w:val="hybridMultilevel"/>
    <w:tmpl w:val="2FAEB4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7CC66BA"/>
    <w:multiLevelType w:val="multilevel"/>
    <w:tmpl w:val="9B4C4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A849CF"/>
    <w:multiLevelType w:val="hybridMultilevel"/>
    <w:tmpl w:val="84D2E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B65517"/>
    <w:multiLevelType w:val="hybridMultilevel"/>
    <w:tmpl w:val="7F5431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2D31232"/>
    <w:multiLevelType w:val="hybridMultilevel"/>
    <w:tmpl w:val="96C2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F77144"/>
    <w:multiLevelType w:val="hybridMultilevel"/>
    <w:tmpl w:val="1EDA1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B771B0"/>
    <w:multiLevelType w:val="hybridMultilevel"/>
    <w:tmpl w:val="89446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FD41ED"/>
    <w:multiLevelType w:val="multilevel"/>
    <w:tmpl w:val="855A2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64257"/>
    <w:multiLevelType w:val="hybridMultilevel"/>
    <w:tmpl w:val="E7DEE8AA"/>
    <w:lvl w:ilvl="0" w:tplc="3EDE570E">
      <w:start w:val="1"/>
      <w:numFmt w:val="lowerLetter"/>
      <w:lvlText w:val="(%1)"/>
      <w:lvlJc w:val="left"/>
      <w:pPr>
        <w:ind w:left="990" w:hanging="360"/>
      </w:pPr>
      <w:rPr>
        <w:b w:val="0"/>
        <w:bCs w:val="0"/>
        <w:color w:val="auto"/>
      </w:rPr>
    </w:lvl>
    <w:lvl w:ilvl="1" w:tplc="FFFFFFFF">
      <w:start w:val="1"/>
      <w:numFmt w:val="lowerLetter"/>
      <w:lvlText w:val="%2."/>
      <w:lvlJc w:val="left"/>
      <w:pPr>
        <w:ind w:left="1710" w:hanging="360"/>
      </w:pPr>
    </w:lvl>
    <w:lvl w:ilvl="2" w:tplc="FFFFFFFF">
      <w:start w:val="1"/>
      <w:numFmt w:val="lowerRoman"/>
      <w:lvlText w:val="%3."/>
      <w:lvlJc w:val="right"/>
      <w:pPr>
        <w:ind w:left="2430" w:hanging="180"/>
      </w:pPr>
    </w:lvl>
    <w:lvl w:ilvl="3" w:tplc="FFFFFFFF">
      <w:start w:val="1"/>
      <w:numFmt w:val="decimal"/>
      <w:lvlText w:val="%4."/>
      <w:lvlJc w:val="left"/>
      <w:pPr>
        <w:ind w:left="3150" w:hanging="360"/>
      </w:pPr>
    </w:lvl>
    <w:lvl w:ilvl="4" w:tplc="FFFFFFFF">
      <w:start w:val="1"/>
      <w:numFmt w:val="lowerLetter"/>
      <w:lvlText w:val="%5."/>
      <w:lvlJc w:val="left"/>
      <w:pPr>
        <w:ind w:left="3870" w:hanging="360"/>
      </w:pPr>
    </w:lvl>
    <w:lvl w:ilvl="5" w:tplc="FFFFFFFF">
      <w:start w:val="1"/>
      <w:numFmt w:val="lowerRoman"/>
      <w:lvlText w:val="%6."/>
      <w:lvlJc w:val="right"/>
      <w:pPr>
        <w:ind w:left="4590" w:hanging="180"/>
      </w:pPr>
    </w:lvl>
    <w:lvl w:ilvl="6" w:tplc="FFFFFFFF">
      <w:start w:val="1"/>
      <w:numFmt w:val="decimal"/>
      <w:lvlText w:val="%7."/>
      <w:lvlJc w:val="left"/>
      <w:pPr>
        <w:ind w:left="5310" w:hanging="360"/>
      </w:pPr>
    </w:lvl>
    <w:lvl w:ilvl="7" w:tplc="FFFFFFFF">
      <w:start w:val="1"/>
      <w:numFmt w:val="lowerLetter"/>
      <w:lvlText w:val="%8."/>
      <w:lvlJc w:val="left"/>
      <w:pPr>
        <w:ind w:left="6030" w:hanging="360"/>
      </w:pPr>
    </w:lvl>
    <w:lvl w:ilvl="8" w:tplc="FFFFFFFF">
      <w:start w:val="1"/>
      <w:numFmt w:val="lowerRoman"/>
      <w:lvlText w:val="%9."/>
      <w:lvlJc w:val="right"/>
      <w:pPr>
        <w:ind w:left="6750" w:hanging="180"/>
      </w:pPr>
    </w:lvl>
  </w:abstractNum>
  <w:abstractNum w:abstractNumId="16" w15:restartNumberingAfterBreak="0">
    <w:nsid w:val="416578B6"/>
    <w:multiLevelType w:val="hybridMultilevel"/>
    <w:tmpl w:val="5CAE0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C44452"/>
    <w:multiLevelType w:val="multilevel"/>
    <w:tmpl w:val="1E027D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bCs/>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4534C"/>
    <w:multiLevelType w:val="hybridMultilevel"/>
    <w:tmpl w:val="D8944CF0"/>
    <w:lvl w:ilvl="0" w:tplc="0AC46242">
      <w:start w:val="1"/>
      <w:numFmt w:val="decimal"/>
      <w:lvlText w:val="%1."/>
      <w:lvlJc w:val="left"/>
      <w:pPr>
        <w:ind w:left="720" w:hanging="360"/>
      </w:pPr>
      <w:rPr>
        <w:rFonts w:hint="default"/>
        <w:color w:val="4F81BD" w:themeColor="accen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E06B80"/>
    <w:multiLevelType w:val="hybridMultilevel"/>
    <w:tmpl w:val="B3429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ABD0179"/>
    <w:multiLevelType w:val="hybridMultilevel"/>
    <w:tmpl w:val="13A64478"/>
    <w:lvl w:ilvl="0" w:tplc="24182A38">
      <w:start w:val="1"/>
      <w:numFmt w:val="decimal"/>
      <w:lvlText w:val="(%1)"/>
      <w:lvlJc w:val="left"/>
      <w:pPr>
        <w:ind w:left="927" w:hanging="360"/>
      </w:pPr>
      <w:rPr>
        <w:strike w:val="0"/>
        <w:dstrike w:val="0"/>
        <w:u w:val="none"/>
        <w:effect w:val="none"/>
      </w:rPr>
    </w:lvl>
    <w:lvl w:ilvl="1" w:tplc="40090019">
      <w:start w:val="1"/>
      <w:numFmt w:val="lowerLetter"/>
      <w:lvlText w:val="%2."/>
      <w:lvlJc w:val="left"/>
      <w:pPr>
        <w:ind w:left="1647" w:hanging="360"/>
      </w:pPr>
    </w:lvl>
    <w:lvl w:ilvl="2" w:tplc="4009001B">
      <w:start w:val="1"/>
      <w:numFmt w:val="lowerRoman"/>
      <w:lvlText w:val="%3."/>
      <w:lvlJc w:val="right"/>
      <w:pPr>
        <w:ind w:left="2367" w:hanging="180"/>
      </w:pPr>
    </w:lvl>
    <w:lvl w:ilvl="3" w:tplc="4009000F">
      <w:start w:val="1"/>
      <w:numFmt w:val="decimal"/>
      <w:lvlText w:val="%4."/>
      <w:lvlJc w:val="left"/>
      <w:pPr>
        <w:ind w:left="3087" w:hanging="360"/>
      </w:pPr>
    </w:lvl>
    <w:lvl w:ilvl="4" w:tplc="40090019">
      <w:start w:val="1"/>
      <w:numFmt w:val="lowerLetter"/>
      <w:lvlText w:val="%5."/>
      <w:lvlJc w:val="left"/>
      <w:pPr>
        <w:ind w:left="3807" w:hanging="360"/>
      </w:pPr>
    </w:lvl>
    <w:lvl w:ilvl="5" w:tplc="4009001B">
      <w:start w:val="1"/>
      <w:numFmt w:val="lowerRoman"/>
      <w:lvlText w:val="%6."/>
      <w:lvlJc w:val="right"/>
      <w:pPr>
        <w:ind w:left="4527" w:hanging="180"/>
      </w:pPr>
    </w:lvl>
    <w:lvl w:ilvl="6" w:tplc="4009000F">
      <w:start w:val="1"/>
      <w:numFmt w:val="decimal"/>
      <w:lvlText w:val="%7."/>
      <w:lvlJc w:val="left"/>
      <w:pPr>
        <w:ind w:left="5247" w:hanging="360"/>
      </w:pPr>
    </w:lvl>
    <w:lvl w:ilvl="7" w:tplc="40090019">
      <w:start w:val="1"/>
      <w:numFmt w:val="lowerLetter"/>
      <w:lvlText w:val="%8."/>
      <w:lvlJc w:val="left"/>
      <w:pPr>
        <w:ind w:left="5967" w:hanging="360"/>
      </w:pPr>
    </w:lvl>
    <w:lvl w:ilvl="8" w:tplc="4009001B">
      <w:start w:val="1"/>
      <w:numFmt w:val="lowerRoman"/>
      <w:lvlText w:val="%9."/>
      <w:lvlJc w:val="right"/>
      <w:pPr>
        <w:ind w:left="6687" w:hanging="180"/>
      </w:pPr>
    </w:lvl>
  </w:abstractNum>
  <w:abstractNum w:abstractNumId="21" w15:restartNumberingAfterBreak="0">
    <w:nsid w:val="4D3F2E04"/>
    <w:multiLevelType w:val="hybridMultilevel"/>
    <w:tmpl w:val="03AE7CC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43A7801"/>
    <w:multiLevelType w:val="hybridMultilevel"/>
    <w:tmpl w:val="EB7C965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A90209E"/>
    <w:multiLevelType w:val="multilevel"/>
    <w:tmpl w:val="1B1410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0A62F4"/>
    <w:multiLevelType w:val="hybridMultilevel"/>
    <w:tmpl w:val="850EF550"/>
    <w:lvl w:ilvl="0" w:tplc="4009001B">
      <w:start w:val="1"/>
      <w:numFmt w:val="lowerRoman"/>
      <w:lvlText w:val="%1."/>
      <w:lvlJc w:val="right"/>
      <w:pPr>
        <w:ind w:left="8190" w:hanging="360"/>
      </w:pPr>
      <w:rPr>
        <w:rFonts w:hint="default"/>
      </w:rPr>
    </w:lvl>
    <w:lvl w:ilvl="1" w:tplc="FFFFFFFF" w:tentative="1">
      <w:start w:val="1"/>
      <w:numFmt w:val="lowerLetter"/>
      <w:lvlText w:val="%2."/>
      <w:lvlJc w:val="left"/>
      <w:pPr>
        <w:ind w:left="8910" w:hanging="360"/>
      </w:pPr>
    </w:lvl>
    <w:lvl w:ilvl="2" w:tplc="FFFFFFFF" w:tentative="1">
      <w:start w:val="1"/>
      <w:numFmt w:val="lowerRoman"/>
      <w:lvlText w:val="%3."/>
      <w:lvlJc w:val="right"/>
      <w:pPr>
        <w:ind w:left="9630" w:hanging="180"/>
      </w:pPr>
    </w:lvl>
    <w:lvl w:ilvl="3" w:tplc="FFFFFFFF" w:tentative="1">
      <w:start w:val="1"/>
      <w:numFmt w:val="decimal"/>
      <w:lvlText w:val="%4."/>
      <w:lvlJc w:val="left"/>
      <w:pPr>
        <w:ind w:left="10350" w:hanging="360"/>
      </w:pPr>
    </w:lvl>
    <w:lvl w:ilvl="4" w:tplc="FFFFFFFF" w:tentative="1">
      <w:start w:val="1"/>
      <w:numFmt w:val="lowerLetter"/>
      <w:lvlText w:val="%5."/>
      <w:lvlJc w:val="left"/>
      <w:pPr>
        <w:ind w:left="11070" w:hanging="360"/>
      </w:pPr>
    </w:lvl>
    <w:lvl w:ilvl="5" w:tplc="FFFFFFFF" w:tentative="1">
      <w:start w:val="1"/>
      <w:numFmt w:val="lowerRoman"/>
      <w:lvlText w:val="%6."/>
      <w:lvlJc w:val="right"/>
      <w:pPr>
        <w:ind w:left="11790" w:hanging="180"/>
      </w:pPr>
    </w:lvl>
    <w:lvl w:ilvl="6" w:tplc="FFFFFFFF" w:tentative="1">
      <w:start w:val="1"/>
      <w:numFmt w:val="decimal"/>
      <w:lvlText w:val="%7."/>
      <w:lvlJc w:val="left"/>
      <w:pPr>
        <w:ind w:left="12510" w:hanging="360"/>
      </w:pPr>
    </w:lvl>
    <w:lvl w:ilvl="7" w:tplc="FFFFFFFF" w:tentative="1">
      <w:start w:val="1"/>
      <w:numFmt w:val="lowerLetter"/>
      <w:lvlText w:val="%8."/>
      <w:lvlJc w:val="left"/>
      <w:pPr>
        <w:ind w:left="13230" w:hanging="360"/>
      </w:pPr>
    </w:lvl>
    <w:lvl w:ilvl="8" w:tplc="FFFFFFFF" w:tentative="1">
      <w:start w:val="1"/>
      <w:numFmt w:val="lowerRoman"/>
      <w:lvlText w:val="%9."/>
      <w:lvlJc w:val="right"/>
      <w:pPr>
        <w:ind w:left="13950" w:hanging="180"/>
      </w:pPr>
    </w:lvl>
  </w:abstractNum>
  <w:abstractNum w:abstractNumId="25" w15:restartNumberingAfterBreak="0">
    <w:nsid w:val="625E7152"/>
    <w:multiLevelType w:val="hybridMultilevel"/>
    <w:tmpl w:val="C100ACD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6" w15:restartNumberingAfterBreak="0">
    <w:nsid w:val="65234E18"/>
    <w:multiLevelType w:val="hybridMultilevel"/>
    <w:tmpl w:val="479CB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79C09FD"/>
    <w:multiLevelType w:val="hybridMultilevel"/>
    <w:tmpl w:val="CEBEEE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571C96"/>
    <w:multiLevelType w:val="hybridMultilevel"/>
    <w:tmpl w:val="D8944CF0"/>
    <w:lvl w:ilvl="0" w:tplc="FFFFFFFF">
      <w:start w:val="1"/>
      <w:numFmt w:val="decimal"/>
      <w:lvlText w:val="%1."/>
      <w:lvlJc w:val="left"/>
      <w:pPr>
        <w:ind w:left="720" w:hanging="360"/>
      </w:pPr>
      <w:rPr>
        <w:rFonts w:hint="default"/>
        <w:color w:val="4F81BD"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A7D0CF3"/>
    <w:multiLevelType w:val="multilevel"/>
    <w:tmpl w:val="DF2EA004"/>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0B494F"/>
    <w:multiLevelType w:val="hybridMultilevel"/>
    <w:tmpl w:val="44CE0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9F57B3C"/>
    <w:multiLevelType w:val="hybridMultilevel"/>
    <w:tmpl w:val="A0B4A800"/>
    <w:lvl w:ilvl="0" w:tplc="926235F8">
      <w:start w:val="1"/>
      <w:numFmt w:val="decimal"/>
      <w:lvlText w:val="%1."/>
      <w:lvlJc w:val="left"/>
      <w:pPr>
        <w:ind w:left="1710" w:hanging="360"/>
      </w:pPr>
      <w:rPr>
        <w:b w:val="0"/>
        <w:bCs w:val="0"/>
      </w:rPr>
    </w:lvl>
    <w:lvl w:ilvl="1" w:tplc="40090019">
      <w:start w:val="1"/>
      <w:numFmt w:val="lowerLetter"/>
      <w:lvlText w:val="%2."/>
      <w:lvlJc w:val="left"/>
      <w:pPr>
        <w:ind w:left="2430" w:hanging="360"/>
      </w:pPr>
    </w:lvl>
    <w:lvl w:ilvl="2" w:tplc="4009001B">
      <w:start w:val="1"/>
      <w:numFmt w:val="lowerRoman"/>
      <w:lvlText w:val="%3."/>
      <w:lvlJc w:val="right"/>
      <w:pPr>
        <w:ind w:left="3150" w:hanging="180"/>
      </w:pPr>
    </w:lvl>
    <w:lvl w:ilvl="3" w:tplc="4009000F">
      <w:start w:val="1"/>
      <w:numFmt w:val="decimal"/>
      <w:lvlText w:val="%4."/>
      <w:lvlJc w:val="left"/>
      <w:pPr>
        <w:ind w:left="3870" w:hanging="360"/>
      </w:pPr>
    </w:lvl>
    <w:lvl w:ilvl="4" w:tplc="40090019">
      <w:start w:val="1"/>
      <w:numFmt w:val="lowerLetter"/>
      <w:lvlText w:val="%5."/>
      <w:lvlJc w:val="left"/>
      <w:pPr>
        <w:ind w:left="4590" w:hanging="360"/>
      </w:pPr>
    </w:lvl>
    <w:lvl w:ilvl="5" w:tplc="4009001B">
      <w:start w:val="1"/>
      <w:numFmt w:val="lowerRoman"/>
      <w:lvlText w:val="%6."/>
      <w:lvlJc w:val="right"/>
      <w:pPr>
        <w:ind w:left="5310" w:hanging="180"/>
      </w:pPr>
    </w:lvl>
    <w:lvl w:ilvl="6" w:tplc="4009000F">
      <w:start w:val="1"/>
      <w:numFmt w:val="decimal"/>
      <w:lvlText w:val="%7."/>
      <w:lvlJc w:val="left"/>
      <w:pPr>
        <w:ind w:left="6030" w:hanging="360"/>
      </w:pPr>
    </w:lvl>
    <w:lvl w:ilvl="7" w:tplc="40090019">
      <w:start w:val="1"/>
      <w:numFmt w:val="lowerLetter"/>
      <w:lvlText w:val="%8."/>
      <w:lvlJc w:val="left"/>
      <w:pPr>
        <w:ind w:left="6750" w:hanging="360"/>
      </w:pPr>
    </w:lvl>
    <w:lvl w:ilvl="8" w:tplc="4009001B">
      <w:start w:val="1"/>
      <w:numFmt w:val="lowerRoman"/>
      <w:lvlText w:val="%9."/>
      <w:lvlJc w:val="right"/>
      <w:pPr>
        <w:ind w:left="7470" w:hanging="180"/>
      </w:pPr>
    </w:lvl>
  </w:abstractNum>
  <w:abstractNum w:abstractNumId="32" w15:restartNumberingAfterBreak="0">
    <w:nsid w:val="7ADC215A"/>
    <w:multiLevelType w:val="hybridMultilevel"/>
    <w:tmpl w:val="47A61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B053375"/>
    <w:multiLevelType w:val="hybridMultilevel"/>
    <w:tmpl w:val="8670D962"/>
    <w:lvl w:ilvl="0" w:tplc="40090015">
      <w:start w:val="1"/>
      <w:numFmt w:val="upperLetter"/>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abstractNumId w:val="17"/>
  </w:num>
  <w:num w:numId="2">
    <w:abstractNumId w:val="16"/>
  </w:num>
  <w:num w:numId="3">
    <w:abstractNumId w:val="21"/>
  </w:num>
  <w:num w:numId="4">
    <w:abstractNumId w:val="2"/>
  </w:num>
  <w:num w:numId="5">
    <w:abstractNumId w:val="3"/>
  </w:num>
  <w:num w:numId="6">
    <w:abstractNumId w:val="4"/>
  </w:num>
  <w:num w:numId="7">
    <w:abstractNumId w:val="18"/>
  </w:num>
  <w:num w:numId="8">
    <w:abstractNumId w:val="27"/>
  </w:num>
  <w:num w:numId="9">
    <w:abstractNumId w:val="12"/>
  </w:num>
  <w:num w:numId="10">
    <w:abstractNumId w:val="29"/>
  </w:num>
  <w:num w:numId="11">
    <w:abstractNumId w:val="8"/>
  </w:num>
  <w:num w:numId="12">
    <w:abstractNumId w:val="23"/>
  </w:num>
  <w:num w:numId="13">
    <w:abstractNumId w:val="25"/>
  </w:num>
  <w:num w:numId="14">
    <w:abstractNumId w:val="13"/>
  </w:num>
  <w:num w:numId="15">
    <w:abstractNumId w:val="19"/>
  </w:num>
  <w:num w:numId="16">
    <w:abstractNumId w:val="0"/>
  </w:num>
  <w:num w:numId="17">
    <w:abstractNumId w:val="9"/>
  </w:num>
  <w:num w:numId="18">
    <w:abstractNumId w:val="10"/>
  </w:num>
  <w:num w:numId="19">
    <w:abstractNumId w:val="24"/>
  </w:num>
  <w:num w:numId="20">
    <w:abstractNumId w:val="26"/>
  </w:num>
  <w:num w:numId="21">
    <w:abstractNumId w:val="5"/>
  </w:num>
  <w:num w:numId="22">
    <w:abstractNumId w:val="6"/>
  </w:num>
  <w:num w:numId="23">
    <w:abstractNumId w:val="30"/>
  </w:num>
  <w:num w:numId="24">
    <w:abstractNumId w:val="11"/>
  </w:num>
  <w:num w:numId="25">
    <w:abstractNumId w:val="32"/>
  </w:num>
  <w:num w:numId="26">
    <w:abstractNumId w:val="28"/>
  </w:num>
  <w:num w:numId="27">
    <w:abstractNumId w:val="22"/>
  </w:num>
  <w:num w:numId="28">
    <w:abstractNumId w:val="1"/>
  </w:num>
  <w:num w:numId="29">
    <w:abstractNumId w:val="7"/>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4"/>
  </w:num>
  <w:num w:numId="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2D6"/>
    <w:rsid w:val="00000ADB"/>
    <w:rsid w:val="00011AE8"/>
    <w:rsid w:val="000125A4"/>
    <w:rsid w:val="0002520E"/>
    <w:rsid w:val="00032A41"/>
    <w:rsid w:val="00041A48"/>
    <w:rsid w:val="000579E1"/>
    <w:rsid w:val="00057C16"/>
    <w:rsid w:val="000636A7"/>
    <w:rsid w:val="00064381"/>
    <w:rsid w:val="000736F0"/>
    <w:rsid w:val="000946B5"/>
    <w:rsid w:val="00094805"/>
    <w:rsid w:val="0009545A"/>
    <w:rsid w:val="00096E82"/>
    <w:rsid w:val="000A640D"/>
    <w:rsid w:val="000A729A"/>
    <w:rsid w:val="000B0FD0"/>
    <w:rsid w:val="000C31B0"/>
    <w:rsid w:val="000C4918"/>
    <w:rsid w:val="000D13D2"/>
    <w:rsid w:val="000D3E95"/>
    <w:rsid w:val="000D67EE"/>
    <w:rsid w:val="00105FC7"/>
    <w:rsid w:val="00107FDA"/>
    <w:rsid w:val="00111E6B"/>
    <w:rsid w:val="00117183"/>
    <w:rsid w:val="00127174"/>
    <w:rsid w:val="00127FB3"/>
    <w:rsid w:val="00130536"/>
    <w:rsid w:val="00131794"/>
    <w:rsid w:val="00132262"/>
    <w:rsid w:val="00132288"/>
    <w:rsid w:val="00140E67"/>
    <w:rsid w:val="00146D32"/>
    <w:rsid w:val="00147F02"/>
    <w:rsid w:val="001501B7"/>
    <w:rsid w:val="00164270"/>
    <w:rsid w:val="00164CC7"/>
    <w:rsid w:val="00167031"/>
    <w:rsid w:val="00174185"/>
    <w:rsid w:val="0017500E"/>
    <w:rsid w:val="00184A39"/>
    <w:rsid w:val="001874C8"/>
    <w:rsid w:val="001A5C2E"/>
    <w:rsid w:val="001A699D"/>
    <w:rsid w:val="001C068D"/>
    <w:rsid w:val="001C1491"/>
    <w:rsid w:val="001C3AE2"/>
    <w:rsid w:val="001C6943"/>
    <w:rsid w:val="001F3175"/>
    <w:rsid w:val="001F41A2"/>
    <w:rsid w:val="001F6966"/>
    <w:rsid w:val="001F738C"/>
    <w:rsid w:val="00222EE9"/>
    <w:rsid w:val="0022371B"/>
    <w:rsid w:val="002275CC"/>
    <w:rsid w:val="0024368A"/>
    <w:rsid w:val="00244E38"/>
    <w:rsid w:val="002572DB"/>
    <w:rsid w:val="00285082"/>
    <w:rsid w:val="0029529A"/>
    <w:rsid w:val="002A0170"/>
    <w:rsid w:val="002A0656"/>
    <w:rsid w:val="002A6232"/>
    <w:rsid w:val="002B138E"/>
    <w:rsid w:val="002B3182"/>
    <w:rsid w:val="002B5458"/>
    <w:rsid w:val="002B765F"/>
    <w:rsid w:val="002C6DCD"/>
    <w:rsid w:val="002C7B56"/>
    <w:rsid w:val="002E71B8"/>
    <w:rsid w:val="002F12DD"/>
    <w:rsid w:val="002F696E"/>
    <w:rsid w:val="00306F68"/>
    <w:rsid w:val="00322006"/>
    <w:rsid w:val="00323BCF"/>
    <w:rsid w:val="00334210"/>
    <w:rsid w:val="003360EF"/>
    <w:rsid w:val="0034211A"/>
    <w:rsid w:val="0034303D"/>
    <w:rsid w:val="00350084"/>
    <w:rsid w:val="00354B3D"/>
    <w:rsid w:val="00361D1C"/>
    <w:rsid w:val="003626C0"/>
    <w:rsid w:val="003642E0"/>
    <w:rsid w:val="00365C65"/>
    <w:rsid w:val="0036715E"/>
    <w:rsid w:val="00367209"/>
    <w:rsid w:val="00370E1A"/>
    <w:rsid w:val="0037361D"/>
    <w:rsid w:val="0037545B"/>
    <w:rsid w:val="003768EA"/>
    <w:rsid w:val="00382AC9"/>
    <w:rsid w:val="0039023F"/>
    <w:rsid w:val="003938E1"/>
    <w:rsid w:val="00393D0F"/>
    <w:rsid w:val="00395AA4"/>
    <w:rsid w:val="00396025"/>
    <w:rsid w:val="00396D2D"/>
    <w:rsid w:val="003A02AE"/>
    <w:rsid w:val="003A0FA4"/>
    <w:rsid w:val="003A3CD6"/>
    <w:rsid w:val="003B14BF"/>
    <w:rsid w:val="003B2ABC"/>
    <w:rsid w:val="003C28EE"/>
    <w:rsid w:val="003C2E65"/>
    <w:rsid w:val="003D0650"/>
    <w:rsid w:val="003D5579"/>
    <w:rsid w:val="003F264B"/>
    <w:rsid w:val="003F4CFF"/>
    <w:rsid w:val="0040143B"/>
    <w:rsid w:val="0042486F"/>
    <w:rsid w:val="004248AB"/>
    <w:rsid w:val="0043106C"/>
    <w:rsid w:val="0043108C"/>
    <w:rsid w:val="00432267"/>
    <w:rsid w:val="00434AEF"/>
    <w:rsid w:val="00435943"/>
    <w:rsid w:val="00441050"/>
    <w:rsid w:val="004639BC"/>
    <w:rsid w:val="004645CB"/>
    <w:rsid w:val="004649C0"/>
    <w:rsid w:val="00464E6A"/>
    <w:rsid w:val="004657C0"/>
    <w:rsid w:val="0047025E"/>
    <w:rsid w:val="00471C43"/>
    <w:rsid w:val="00492D0A"/>
    <w:rsid w:val="00495910"/>
    <w:rsid w:val="004A2BF8"/>
    <w:rsid w:val="004A4494"/>
    <w:rsid w:val="004B1F8A"/>
    <w:rsid w:val="004C3DC7"/>
    <w:rsid w:val="004C5AA0"/>
    <w:rsid w:val="004C7295"/>
    <w:rsid w:val="004D15BD"/>
    <w:rsid w:val="00507025"/>
    <w:rsid w:val="00510D01"/>
    <w:rsid w:val="0051163F"/>
    <w:rsid w:val="0051482C"/>
    <w:rsid w:val="00514A8D"/>
    <w:rsid w:val="00520A7A"/>
    <w:rsid w:val="00525322"/>
    <w:rsid w:val="00526207"/>
    <w:rsid w:val="00533948"/>
    <w:rsid w:val="00534BF5"/>
    <w:rsid w:val="00536935"/>
    <w:rsid w:val="005369CC"/>
    <w:rsid w:val="00541F28"/>
    <w:rsid w:val="005441F4"/>
    <w:rsid w:val="005442E4"/>
    <w:rsid w:val="00553E97"/>
    <w:rsid w:val="00554862"/>
    <w:rsid w:val="00554B9A"/>
    <w:rsid w:val="00565B0E"/>
    <w:rsid w:val="00567DC7"/>
    <w:rsid w:val="00573D85"/>
    <w:rsid w:val="00574399"/>
    <w:rsid w:val="005743CE"/>
    <w:rsid w:val="00580080"/>
    <w:rsid w:val="00584108"/>
    <w:rsid w:val="00590738"/>
    <w:rsid w:val="005964DD"/>
    <w:rsid w:val="00596FA0"/>
    <w:rsid w:val="005A0AA4"/>
    <w:rsid w:val="005A5837"/>
    <w:rsid w:val="005A640A"/>
    <w:rsid w:val="005A7D8D"/>
    <w:rsid w:val="005B3F42"/>
    <w:rsid w:val="005B673C"/>
    <w:rsid w:val="005C5B9D"/>
    <w:rsid w:val="005D1337"/>
    <w:rsid w:val="005E3B63"/>
    <w:rsid w:val="00602AD7"/>
    <w:rsid w:val="0060616C"/>
    <w:rsid w:val="006065FB"/>
    <w:rsid w:val="0061170B"/>
    <w:rsid w:val="006219E1"/>
    <w:rsid w:val="00627705"/>
    <w:rsid w:val="00635BF0"/>
    <w:rsid w:val="00644000"/>
    <w:rsid w:val="006521BD"/>
    <w:rsid w:val="0065550C"/>
    <w:rsid w:val="006608F2"/>
    <w:rsid w:val="00675BCA"/>
    <w:rsid w:val="00681DDF"/>
    <w:rsid w:val="00684D7A"/>
    <w:rsid w:val="0068714D"/>
    <w:rsid w:val="006906A7"/>
    <w:rsid w:val="00691268"/>
    <w:rsid w:val="00693BA9"/>
    <w:rsid w:val="006A1E5F"/>
    <w:rsid w:val="006A2011"/>
    <w:rsid w:val="006A2790"/>
    <w:rsid w:val="006A34A2"/>
    <w:rsid w:val="006A42B1"/>
    <w:rsid w:val="006A73DB"/>
    <w:rsid w:val="006B08D9"/>
    <w:rsid w:val="006B2979"/>
    <w:rsid w:val="006B6F96"/>
    <w:rsid w:val="006B780B"/>
    <w:rsid w:val="006C2529"/>
    <w:rsid w:val="006C745D"/>
    <w:rsid w:val="006D115B"/>
    <w:rsid w:val="006F0549"/>
    <w:rsid w:val="006F15E9"/>
    <w:rsid w:val="006F4E37"/>
    <w:rsid w:val="00700B1E"/>
    <w:rsid w:val="00712C04"/>
    <w:rsid w:val="0071400B"/>
    <w:rsid w:val="00722900"/>
    <w:rsid w:val="00731A9F"/>
    <w:rsid w:val="00734C1D"/>
    <w:rsid w:val="00736400"/>
    <w:rsid w:val="00740DEC"/>
    <w:rsid w:val="007421A7"/>
    <w:rsid w:val="00742900"/>
    <w:rsid w:val="00743157"/>
    <w:rsid w:val="00743327"/>
    <w:rsid w:val="00746732"/>
    <w:rsid w:val="00746CC1"/>
    <w:rsid w:val="007560A7"/>
    <w:rsid w:val="0075664F"/>
    <w:rsid w:val="007615A5"/>
    <w:rsid w:val="0076257E"/>
    <w:rsid w:val="0077469F"/>
    <w:rsid w:val="00775A13"/>
    <w:rsid w:val="00783744"/>
    <w:rsid w:val="00786245"/>
    <w:rsid w:val="00797A13"/>
    <w:rsid w:val="007A03EF"/>
    <w:rsid w:val="007A04B9"/>
    <w:rsid w:val="007A1F64"/>
    <w:rsid w:val="007A5DA1"/>
    <w:rsid w:val="007B3599"/>
    <w:rsid w:val="007B3D18"/>
    <w:rsid w:val="007B6AA6"/>
    <w:rsid w:val="007C0BE1"/>
    <w:rsid w:val="007C1C3B"/>
    <w:rsid w:val="007C1E03"/>
    <w:rsid w:val="007E11DD"/>
    <w:rsid w:val="007E256E"/>
    <w:rsid w:val="007E53EE"/>
    <w:rsid w:val="007E5737"/>
    <w:rsid w:val="00821BEA"/>
    <w:rsid w:val="008265EB"/>
    <w:rsid w:val="00827189"/>
    <w:rsid w:val="00832E71"/>
    <w:rsid w:val="00837E59"/>
    <w:rsid w:val="00841A22"/>
    <w:rsid w:val="00844ECF"/>
    <w:rsid w:val="00850709"/>
    <w:rsid w:val="00850721"/>
    <w:rsid w:val="00853476"/>
    <w:rsid w:val="00853536"/>
    <w:rsid w:val="0086375A"/>
    <w:rsid w:val="00863C32"/>
    <w:rsid w:val="00863C51"/>
    <w:rsid w:val="00863CDB"/>
    <w:rsid w:val="00865200"/>
    <w:rsid w:val="00875F61"/>
    <w:rsid w:val="008765AA"/>
    <w:rsid w:val="00881932"/>
    <w:rsid w:val="00884C35"/>
    <w:rsid w:val="00892267"/>
    <w:rsid w:val="00897896"/>
    <w:rsid w:val="008A62D2"/>
    <w:rsid w:val="008B536C"/>
    <w:rsid w:val="008B738F"/>
    <w:rsid w:val="008C508D"/>
    <w:rsid w:val="008C7A7F"/>
    <w:rsid w:val="008D0E5F"/>
    <w:rsid w:val="008D1067"/>
    <w:rsid w:val="008E0568"/>
    <w:rsid w:val="008E0B35"/>
    <w:rsid w:val="008E2A32"/>
    <w:rsid w:val="008E76BC"/>
    <w:rsid w:val="008F13F6"/>
    <w:rsid w:val="008F3801"/>
    <w:rsid w:val="00901424"/>
    <w:rsid w:val="009124B4"/>
    <w:rsid w:val="009133E3"/>
    <w:rsid w:val="0092596D"/>
    <w:rsid w:val="00932884"/>
    <w:rsid w:val="0093430A"/>
    <w:rsid w:val="00935D41"/>
    <w:rsid w:val="00936647"/>
    <w:rsid w:val="009407D1"/>
    <w:rsid w:val="009460E0"/>
    <w:rsid w:val="009511AC"/>
    <w:rsid w:val="00955DCC"/>
    <w:rsid w:val="00955F5F"/>
    <w:rsid w:val="00957DAA"/>
    <w:rsid w:val="0096436F"/>
    <w:rsid w:val="00966889"/>
    <w:rsid w:val="009803B2"/>
    <w:rsid w:val="00981E84"/>
    <w:rsid w:val="009849FE"/>
    <w:rsid w:val="00990D16"/>
    <w:rsid w:val="009974F3"/>
    <w:rsid w:val="009A28D3"/>
    <w:rsid w:val="009A574D"/>
    <w:rsid w:val="009B301A"/>
    <w:rsid w:val="009B390E"/>
    <w:rsid w:val="009B4A31"/>
    <w:rsid w:val="009B54B8"/>
    <w:rsid w:val="009B5552"/>
    <w:rsid w:val="009B6D03"/>
    <w:rsid w:val="009B7BE1"/>
    <w:rsid w:val="009C0505"/>
    <w:rsid w:val="009C18DA"/>
    <w:rsid w:val="009C2FBA"/>
    <w:rsid w:val="009C4362"/>
    <w:rsid w:val="009C64DB"/>
    <w:rsid w:val="009D4BD3"/>
    <w:rsid w:val="009D7022"/>
    <w:rsid w:val="009E3807"/>
    <w:rsid w:val="009E42DC"/>
    <w:rsid w:val="009E5582"/>
    <w:rsid w:val="009F1A66"/>
    <w:rsid w:val="00A014AC"/>
    <w:rsid w:val="00A01D29"/>
    <w:rsid w:val="00A05186"/>
    <w:rsid w:val="00A0591B"/>
    <w:rsid w:val="00A06F9F"/>
    <w:rsid w:val="00A15161"/>
    <w:rsid w:val="00A25FBA"/>
    <w:rsid w:val="00A32E8F"/>
    <w:rsid w:val="00A338C5"/>
    <w:rsid w:val="00A33D93"/>
    <w:rsid w:val="00A344D4"/>
    <w:rsid w:val="00A4350A"/>
    <w:rsid w:val="00A450FC"/>
    <w:rsid w:val="00A45A45"/>
    <w:rsid w:val="00A56D46"/>
    <w:rsid w:val="00A61EA8"/>
    <w:rsid w:val="00A65032"/>
    <w:rsid w:val="00A735C8"/>
    <w:rsid w:val="00A741E0"/>
    <w:rsid w:val="00A75F0A"/>
    <w:rsid w:val="00A80B4C"/>
    <w:rsid w:val="00A83EFF"/>
    <w:rsid w:val="00A971BF"/>
    <w:rsid w:val="00A976C1"/>
    <w:rsid w:val="00AA5504"/>
    <w:rsid w:val="00AA58D7"/>
    <w:rsid w:val="00AC3F9F"/>
    <w:rsid w:val="00AC78D7"/>
    <w:rsid w:val="00AC7EC9"/>
    <w:rsid w:val="00AD7AB7"/>
    <w:rsid w:val="00AE261D"/>
    <w:rsid w:val="00AE4D3E"/>
    <w:rsid w:val="00AE584A"/>
    <w:rsid w:val="00AF3264"/>
    <w:rsid w:val="00AF48D8"/>
    <w:rsid w:val="00B07AE6"/>
    <w:rsid w:val="00B1019F"/>
    <w:rsid w:val="00B16231"/>
    <w:rsid w:val="00B20903"/>
    <w:rsid w:val="00B2388C"/>
    <w:rsid w:val="00B27DDC"/>
    <w:rsid w:val="00B31096"/>
    <w:rsid w:val="00B31866"/>
    <w:rsid w:val="00B36625"/>
    <w:rsid w:val="00B3685D"/>
    <w:rsid w:val="00B563A1"/>
    <w:rsid w:val="00B66813"/>
    <w:rsid w:val="00B834ED"/>
    <w:rsid w:val="00BA12DD"/>
    <w:rsid w:val="00BA1F2A"/>
    <w:rsid w:val="00BA5F59"/>
    <w:rsid w:val="00BA5FBA"/>
    <w:rsid w:val="00BB0963"/>
    <w:rsid w:val="00BB58B9"/>
    <w:rsid w:val="00BB7995"/>
    <w:rsid w:val="00BC5BCC"/>
    <w:rsid w:val="00BD1F76"/>
    <w:rsid w:val="00BD674F"/>
    <w:rsid w:val="00BE3935"/>
    <w:rsid w:val="00BF37AB"/>
    <w:rsid w:val="00BF46AA"/>
    <w:rsid w:val="00BF5825"/>
    <w:rsid w:val="00C00060"/>
    <w:rsid w:val="00C00F41"/>
    <w:rsid w:val="00C063B1"/>
    <w:rsid w:val="00C26FB4"/>
    <w:rsid w:val="00C33C95"/>
    <w:rsid w:val="00C67A7E"/>
    <w:rsid w:val="00C71B46"/>
    <w:rsid w:val="00C71D14"/>
    <w:rsid w:val="00C7747C"/>
    <w:rsid w:val="00C87AF1"/>
    <w:rsid w:val="00C90E93"/>
    <w:rsid w:val="00C94F8A"/>
    <w:rsid w:val="00C950D8"/>
    <w:rsid w:val="00CA59BF"/>
    <w:rsid w:val="00CB4083"/>
    <w:rsid w:val="00CB4D19"/>
    <w:rsid w:val="00CC2D7B"/>
    <w:rsid w:val="00CD2BB2"/>
    <w:rsid w:val="00CE4D4C"/>
    <w:rsid w:val="00CE6DCB"/>
    <w:rsid w:val="00CF23AC"/>
    <w:rsid w:val="00D11B8B"/>
    <w:rsid w:val="00D13C76"/>
    <w:rsid w:val="00D15E98"/>
    <w:rsid w:val="00D21266"/>
    <w:rsid w:val="00D21717"/>
    <w:rsid w:val="00D24263"/>
    <w:rsid w:val="00D31E71"/>
    <w:rsid w:val="00D338BD"/>
    <w:rsid w:val="00D37149"/>
    <w:rsid w:val="00D4034C"/>
    <w:rsid w:val="00D428EB"/>
    <w:rsid w:val="00D47BA7"/>
    <w:rsid w:val="00D64044"/>
    <w:rsid w:val="00D65FC2"/>
    <w:rsid w:val="00D72EA7"/>
    <w:rsid w:val="00D745E0"/>
    <w:rsid w:val="00D805D4"/>
    <w:rsid w:val="00D815D8"/>
    <w:rsid w:val="00D83993"/>
    <w:rsid w:val="00D84F6F"/>
    <w:rsid w:val="00D87312"/>
    <w:rsid w:val="00D9030B"/>
    <w:rsid w:val="00D905A7"/>
    <w:rsid w:val="00D96F29"/>
    <w:rsid w:val="00DA122A"/>
    <w:rsid w:val="00DA23EF"/>
    <w:rsid w:val="00DA324B"/>
    <w:rsid w:val="00DA3F6C"/>
    <w:rsid w:val="00DB07A6"/>
    <w:rsid w:val="00DC06E6"/>
    <w:rsid w:val="00DC347B"/>
    <w:rsid w:val="00DC3F91"/>
    <w:rsid w:val="00DC712D"/>
    <w:rsid w:val="00DD0C3B"/>
    <w:rsid w:val="00DD2499"/>
    <w:rsid w:val="00DD2EDC"/>
    <w:rsid w:val="00DE29B7"/>
    <w:rsid w:val="00DE45B1"/>
    <w:rsid w:val="00DF6632"/>
    <w:rsid w:val="00E1079F"/>
    <w:rsid w:val="00E13D16"/>
    <w:rsid w:val="00E17928"/>
    <w:rsid w:val="00E338F4"/>
    <w:rsid w:val="00E3555D"/>
    <w:rsid w:val="00E36A23"/>
    <w:rsid w:val="00E450A7"/>
    <w:rsid w:val="00E61637"/>
    <w:rsid w:val="00E633B2"/>
    <w:rsid w:val="00E63FEE"/>
    <w:rsid w:val="00E70536"/>
    <w:rsid w:val="00E734BE"/>
    <w:rsid w:val="00E820A6"/>
    <w:rsid w:val="00E8413C"/>
    <w:rsid w:val="00E846E9"/>
    <w:rsid w:val="00E84D7E"/>
    <w:rsid w:val="00E84F6A"/>
    <w:rsid w:val="00E85A14"/>
    <w:rsid w:val="00E87D3D"/>
    <w:rsid w:val="00E9067D"/>
    <w:rsid w:val="00E9159D"/>
    <w:rsid w:val="00EA2A87"/>
    <w:rsid w:val="00EA44B0"/>
    <w:rsid w:val="00EA7F93"/>
    <w:rsid w:val="00EC06F9"/>
    <w:rsid w:val="00ED4B3C"/>
    <w:rsid w:val="00ED71F1"/>
    <w:rsid w:val="00EE1C8E"/>
    <w:rsid w:val="00EE704E"/>
    <w:rsid w:val="00EE7D20"/>
    <w:rsid w:val="00EF13F4"/>
    <w:rsid w:val="00F05696"/>
    <w:rsid w:val="00F05DAF"/>
    <w:rsid w:val="00F1133B"/>
    <w:rsid w:val="00F1531A"/>
    <w:rsid w:val="00F25792"/>
    <w:rsid w:val="00F33E4B"/>
    <w:rsid w:val="00F355CB"/>
    <w:rsid w:val="00F35AE6"/>
    <w:rsid w:val="00F35B79"/>
    <w:rsid w:val="00F506D6"/>
    <w:rsid w:val="00F522E3"/>
    <w:rsid w:val="00F61695"/>
    <w:rsid w:val="00F65437"/>
    <w:rsid w:val="00F74B28"/>
    <w:rsid w:val="00F76214"/>
    <w:rsid w:val="00F765BB"/>
    <w:rsid w:val="00F81457"/>
    <w:rsid w:val="00F83DD6"/>
    <w:rsid w:val="00F91448"/>
    <w:rsid w:val="00F93FFE"/>
    <w:rsid w:val="00F95119"/>
    <w:rsid w:val="00F96D44"/>
    <w:rsid w:val="00FA3819"/>
    <w:rsid w:val="00FA4ABF"/>
    <w:rsid w:val="00FA71E3"/>
    <w:rsid w:val="00FC2E3A"/>
    <w:rsid w:val="00FC431A"/>
    <w:rsid w:val="00FD615E"/>
    <w:rsid w:val="00FE009C"/>
    <w:rsid w:val="00FE22D6"/>
    <w:rsid w:val="00FE49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99EB4"/>
  <w15:docId w15:val="{D5CF3DA4-0F2D-4E3B-8819-69758A1BF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734B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E6DC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E22D6"/>
    <w:rPr>
      <w:b/>
      <w:bCs/>
    </w:rPr>
  </w:style>
  <w:style w:type="paragraph" w:styleId="NormalWeb">
    <w:name w:val="Normal (Web)"/>
    <w:basedOn w:val="Normal"/>
    <w:uiPriority w:val="99"/>
    <w:unhideWhenUsed/>
    <w:rsid w:val="00FE22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E734BE"/>
    <w:rPr>
      <w:rFonts w:ascii="Times New Roman" w:eastAsia="Times New Roman" w:hAnsi="Times New Roman" w:cs="Times New Roman"/>
      <w:b/>
      <w:bCs/>
      <w:sz w:val="36"/>
      <w:szCs w:val="36"/>
      <w:lang w:eastAsia="en-IN"/>
    </w:rPr>
  </w:style>
  <w:style w:type="paragraph" w:styleId="FootnoteText">
    <w:name w:val="footnote text"/>
    <w:basedOn w:val="Normal"/>
    <w:link w:val="FootnoteTextChar"/>
    <w:uiPriority w:val="99"/>
    <w:semiHidden/>
    <w:unhideWhenUsed/>
    <w:rsid w:val="00837E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7E59"/>
    <w:rPr>
      <w:sz w:val="20"/>
      <w:szCs w:val="20"/>
    </w:rPr>
  </w:style>
  <w:style w:type="character" w:styleId="FootnoteReference">
    <w:name w:val="footnote reference"/>
    <w:basedOn w:val="DefaultParagraphFont"/>
    <w:uiPriority w:val="99"/>
    <w:semiHidden/>
    <w:unhideWhenUsed/>
    <w:rsid w:val="00837E59"/>
    <w:rPr>
      <w:vertAlign w:val="superscript"/>
    </w:rPr>
  </w:style>
  <w:style w:type="paragraph" w:styleId="ListParagraph">
    <w:name w:val="List Paragraph"/>
    <w:aliases w:val="Resume Title,- Bullets,List Paragraph1,Recommendation,bullet point list,List Paragraph11,Bullet List,FooterText,numbered,Paragraphe de liste1,Bulletr List Paragraph,列出段落,Parágrafo da Lista1,リスト段落1,Colorful List - Accent 11,????,????1,Ref"/>
    <w:basedOn w:val="Normal"/>
    <w:link w:val="ListParagraphChar"/>
    <w:uiPriority w:val="34"/>
    <w:qFormat/>
    <w:rsid w:val="0009545A"/>
    <w:pPr>
      <w:ind w:left="720"/>
      <w:contextualSpacing/>
    </w:pPr>
  </w:style>
  <w:style w:type="character" w:styleId="Hyperlink">
    <w:name w:val="Hyperlink"/>
    <w:basedOn w:val="DefaultParagraphFont"/>
    <w:uiPriority w:val="99"/>
    <w:unhideWhenUsed/>
    <w:rsid w:val="0009545A"/>
    <w:rPr>
      <w:color w:val="0000FF" w:themeColor="hyperlink"/>
      <w:u w:val="single"/>
    </w:rPr>
  </w:style>
  <w:style w:type="paragraph" w:customStyle="1" w:styleId="paragraph">
    <w:name w:val="paragraph"/>
    <w:basedOn w:val="Normal"/>
    <w:rsid w:val="005442E4"/>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UnresolvedMention1">
    <w:name w:val="Unresolved Mention1"/>
    <w:basedOn w:val="DefaultParagraphFont"/>
    <w:uiPriority w:val="99"/>
    <w:semiHidden/>
    <w:unhideWhenUsed/>
    <w:rsid w:val="00A971BF"/>
    <w:rPr>
      <w:color w:val="605E5C"/>
      <w:shd w:val="clear" w:color="auto" w:fill="E1DFDD"/>
    </w:rPr>
  </w:style>
  <w:style w:type="character" w:customStyle="1" w:styleId="size">
    <w:name w:val="size"/>
    <w:basedOn w:val="DefaultParagraphFont"/>
    <w:rsid w:val="00132262"/>
  </w:style>
  <w:style w:type="character" w:customStyle="1" w:styleId="object">
    <w:name w:val="object"/>
    <w:basedOn w:val="DefaultParagraphFont"/>
    <w:rsid w:val="00132262"/>
  </w:style>
  <w:style w:type="character" w:customStyle="1" w:styleId="UnresolvedMention2">
    <w:name w:val="Unresolved Mention2"/>
    <w:basedOn w:val="DefaultParagraphFont"/>
    <w:uiPriority w:val="99"/>
    <w:semiHidden/>
    <w:unhideWhenUsed/>
    <w:rsid w:val="00CE6DCB"/>
    <w:rPr>
      <w:color w:val="605E5C"/>
      <w:shd w:val="clear" w:color="auto" w:fill="E1DFDD"/>
    </w:rPr>
  </w:style>
  <w:style w:type="character" w:customStyle="1" w:styleId="Heading3Char">
    <w:name w:val="Heading 3 Char"/>
    <w:basedOn w:val="DefaultParagraphFont"/>
    <w:link w:val="Heading3"/>
    <w:uiPriority w:val="9"/>
    <w:semiHidden/>
    <w:rsid w:val="00CE6DCB"/>
    <w:rPr>
      <w:rFonts w:asciiTheme="majorHAnsi" w:eastAsiaTheme="majorEastAsia" w:hAnsiTheme="majorHAnsi" w:cstheme="majorBidi"/>
      <w:color w:val="243F60" w:themeColor="accent1" w:themeShade="7F"/>
      <w:sz w:val="24"/>
      <w:szCs w:val="24"/>
    </w:rPr>
  </w:style>
  <w:style w:type="character" w:customStyle="1" w:styleId="UnresolvedMention">
    <w:name w:val="Unresolved Mention"/>
    <w:basedOn w:val="DefaultParagraphFont"/>
    <w:uiPriority w:val="99"/>
    <w:semiHidden/>
    <w:unhideWhenUsed/>
    <w:rsid w:val="00ED71F1"/>
    <w:rPr>
      <w:color w:val="605E5C"/>
      <w:shd w:val="clear" w:color="auto" w:fill="E1DFDD"/>
    </w:rPr>
  </w:style>
  <w:style w:type="paragraph" w:styleId="Header">
    <w:name w:val="header"/>
    <w:basedOn w:val="Normal"/>
    <w:link w:val="HeaderChar"/>
    <w:uiPriority w:val="99"/>
    <w:unhideWhenUsed/>
    <w:rsid w:val="007E53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53EE"/>
  </w:style>
  <w:style w:type="paragraph" w:styleId="Footer">
    <w:name w:val="footer"/>
    <w:basedOn w:val="Normal"/>
    <w:link w:val="FooterChar"/>
    <w:uiPriority w:val="99"/>
    <w:unhideWhenUsed/>
    <w:rsid w:val="007E53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53EE"/>
  </w:style>
  <w:style w:type="character" w:customStyle="1" w:styleId="ListParagraphChar">
    <w:name w:val="List Paragraph Char"/>
    <w:aliases w:val="Resume Title Char,- Bullets Char,List Paragraph1 Char,Recommendation Char,bullet point list Char,List Paragraph11 Char,Bullet List Char,FooterText Char,numbered Char,Paragraphe de liste1 Char,Bulletr List Paragraph Char,列出段落 Char"/>
    <w:link w:val="ListParagraph"/>
    <w:uiPriority w:val="34"/>
    <w:qFormat/>
    <w:locked/>
    <w:rsid w:val="00955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347357">
      <w:bodyDiv w:val="1"/>
      <w:marLeft w:val="0"/>
      <w:marRight w:val="0"/>
      <w:marTop w:val="0"/>
      <w:marBottom w:val="0"/>
      <w:divBdr>
        <w:top w:val="none" w:sz="0" w:space="0" w:color="auto"/>
        <w:left w:val="none" w:sz="0" w:space="0" w:color="auto"/>
        <w:bottom w:val="none" w:sz="0" w:space="0" w:color="auto"/>
        <w:right w:val="none" w:sz="0" w:space="0" w:color="auto"/>
      </w:divBdr>
    </w:div>
    <w:div w:id="141584026">
      <w:bodyDiv w:val="1"/>
      <w:marLeft w:val="0"/>
      <w:marRight w:val="0"/>
      <w:marTop w:val="0"/>
      <w:marBottom w:val="0"/>
      <w:divBdr>
        <w:top w:val="none" w:sz="0" w:space="0" w:color="auto"/>
        <w:left w:val="none" w:sz="0" w:space="0" w:color="auto"/>
        <w:bottom w:val="none" w:sz="0" w:space="0" w:color="auto"/>
        <w:right w:val="none" w:sz="0" w:space="0" w:color="auto"/>
      </w:divBdr>
    </w:div>
    <w:div w:id="172839560">
      <w:bodyDiv w:val="1"/>
      <w:marLeft w:val="0"/>
      <w:marRight w:val="0"/>
      <w:marTop w:val="0"/>
      <w:marBottom w:val="0"/>
      <w:divBdr>
        <w:top w:val="none" w:sz="0" w:space="0" w:color="auto"/>
        <w:left w:val="none" w:sz="0" w:space="0" w:color="auto"/>
        <w:bottom w:val="none" w:sz="0" w:space="0" w:color="auto"/>
        <w:right w:val="none" w:sz="0" w:space="0" w:color="auto"/>
      </w:divBdr>
    </w:div>
    <w:div w:id="174925908">
      <w:bodyDiv w:val="1"/>
      <w:marLeft w:val="0"/>
      <w:marRight w:val="0"/>
      <w:marTop w:val="0"/>
      <w:marBottom w:val="0"/>
      <w:divBdr>
        <w:top w:val="none" w:sz="0" w:space="0" w:color="auto"/>
        <w:left w:val="none" w:sz="0" w:space="0" w:color="auto"/>
        <w:bottom w:val="none" w:sz="0" w:space="0" w:color="auto"/>
        <w:right w:val="none" w:sz="0" w:space="0" w:color="auto"/>
      </w:divBdr>
    </w:div>
    <w:div w:id="203178772">
      <w:bodyDiv w:val="1"/>
      <w:marLeft w:val="0"/>
      <w:marRight w:val="0"/>
      <w:marTop w:val="0"/>
      <w:marBottom w:val="0"/>
      <w:divBdr>
        <w:top w:val="none" w:sz="0" w:space="0" w:color="auto"/>
        <w:left w:val="none" w:sz="0" w:space="0" w:color="auto"/>
        <w:bottom w:val="none" w:sz="0" w:space="0" w:color="auto"/>
        <w:right w:val="none" w:sz="0" w:space="0" w:color="auto"/>
      </w:divBdr>
    </w:div>
    <w:div w:id="205988898">
      <w:bodyDiv w:val="1"/>
      <w:marLeft w:val="0"/>
      <w:marRight w:val="0"/>
      <w:marTop w:val="0"/>
      <w:marBottom w:val="0"/>
      <w:divBdr>
        <w:top w:val="none" w:sz="0" w:space="0" w:color="auto"/>
        <w:left w:val="none" w:sz="0" w:space="0" w:color="auto"/>
        <w:bottom w:val="none" w:sz="0" w:space="0" w:color="auto"/>
        <w:right w:val="none" w:sz="0" w:space="0" w:color="auto"/>
      </w:divBdr>
    </w:div>
    <w:div w:id="250897669">
      <w:bodyDiv w:val="1"/>
      <w:marLeft w:val="0"/>
      <w:marRight w:val="0"/>
      <w:marTop w:val="0"/>
      <w:marBottom w:val="0"/>
      <w:divBdr>
        <w:top w:val="none" w:sz="0" w:space="0" w:color="auto"/>
        <w:left w:val="none" w:sz="0" w:space="0" w:color="auto"/>
        <w:bottom w:val="none" w:sz="0" w:space="0" w:color="auto"/>
        <w:right w:val="none" w:sz="0" w:space="0" w:color="auto"/>
      </w:divBdr>
    </w:div>
    <w:div w:id="283273545">
      <w:bodyDiv w:val="1"/>
      <w:marLeft w:val="0"/>
      <w:marRight w:val="0"/>
      <w:marTop w:val="0"/>
      <w:marBottom w:val="0"/>
      <w:divBdr>
        <w:top w:val="none" w:sz="0" w:space="0" w:color="auto"/>
        <w:left w:val="none" w:sz="0" w:space="0" w:color="auto"/>
        <w:bottom w:val="none" w:sz="0" w:space="0" w:color="auto"/>
        <w:right w:val="none" w:sz="0" w:space="0" w:color="auto"/>
      </w:divBdr>
    </w:div>
    <w:div w:id="299962587">
      <w:bodyDiv w:val="1"/>
      <w:marLeft w:val="0"/>
      <w:marRight w:val="0"/>
      <w:marTop w:val="0"/>
      <w:marBottom w:val="0"/>
      <w:divBdr>
        <w:top w:val="none" w:sz="0" w:space="0" w:color="auto"/>
        <w:left w:val="none" w:sz="0" w:space="0" w:color="auto"/>
        <w:bottom w:val="none" w:sz="0" w:space="0" w:color="auto"/>
        <w:right w:val="none" w:sz="0" w:space="0" w:color="auto"/>
      </w:divBdr>
    </w:div>
    <w:div w:id="346559691">
      <w:bodyDiv w:val="1"/>
      <w:marLeft w:val="0"/>
      <w:marRight w:val="0"/>
      <w:marTop w:val="0"/>
      <w:marBottom w:val="0"/>
      <w:divBdr>
        <w:top w:val="none" w:sz="0" w:space="0" w:color="auto"/>
        <w:left w:val="none" w:sz="0" w:space="0" w:color="auto"/>
        <w:bottom w:val="none" w:sz="0" w:space="0" w:color="auto"/>
        <w:right w:val="none" w:sz="0" w:space="0" w:color="auto"/>
      </w:divBdr>
    </w:div>
    <w:div w:id="382484462">
      <w:bodyDiv w:val="1"/>
      <w:marLeft w:val="0"/>
      <w:marRight w:val="0"/>
      <w:marTop w:val="0"/>
      <w:marBottom w:val="0"/>
      <w:divBdr>
        <w:top w:val="none" w:sz="0" w:space="0" w:color="auto"/>
        <w:left w:val="none" w:sz="0" w:space="0" w:color="auto"/>
        <w:bottom w:val="none" w:sz="0" w:space="0" w:color="auto"/>
        <w:right w:val="none" w:sz="0" w:space="0" w:color="auto"/>
      </w:divBdr>
    </w:div>
    <w:div w:id="436364501">
      <w:bodyDiv w:val="1"/>
      <w:marLeft w:val="0"/>
      <w:marRight w:val="0"/>
      <w:marTop w:val="0"/>
      <w:marBottom w:val="0"/>
      <w:divBdr>
        <w:top w:val="none" w:sz="0" w:space="0" w:color="auto"/>
        <w:left w:val="none" w:sz="0" w:space="0" w:color="auto"/>
        <w:bottom w:val="none" w:sz="0" w:space="0" w:color="auto"/>
        <w:right w:val="none" w:sz="0" w:space="0" w:color="auto"/>
      </w:divBdr>
    </w:div>
    <w:div w:id="442457660">
      <w:bodyDiv w:val="1"/>
      <w:marLeft w:val="0"/>
      <w:marRight w:val="0"/>
      <w:marTop w:val="0"/>
      <w:marBottom w:val="0"/>
      <w:divBdr>
        <w:top w:val="none" w:sz="0" w:space="0" w:color="auto"/>
        <w:left w:val="none" w:sz="0" w:space="0" w:color="auto"/>
        <w:bottom w:val="none" w:sz="0" w:space="0" w:color="auto"/>
        <w:right w:val="none" w:sz="0" w:space="0" w:color="auto"/>
      </w:divBdr>
    </w:div>
    <w:div w:id="481195174">
      <w:bodyDiv w:val="1"/>
      <w:marLeft w:val="0"/>
      <w:marRight w:val="0"/>
      <w:marTop w:val="0"/>
      <w:marBottom w:val="0"/>
      <w:divBdr>
        <w:top w:val="none" w:sz="0" w:space="0" w:color="auto"/>
        <w:left w:val="none" w:sz="0" w:space="0" w:color="auto"/>
        <w:bottom w:val="none" w:sz="0" w:space="0" w:color="auto"/>
        <w:right w:val="none" w:sz="0" w:space="0" w:color="auto"/>
      </w:divBdr>
    </w:div>
    <w:div w:id="599221238">
      <w:bodyDiv w:val="1"/>
      <w:marLeft w:val="0"/>
      <w:marRight w:val="0"/>
      <w:marTop w:val="0"/>
      <w:marBottom w:val="0"/>
      <w:divBdr>
        <w:top w:val="none" w:sz="0" w:space="0" w:color="auto"/>
        <w:left w:val="none" w:sz="0" w:space="0" w:color="auto"/>
        <w:bottom w:val="none" w:sz="0" w:space="0" w:color="auto"/>
        <w:right w:val="none" w:sz="0" w:space="0" w:color="auto"/>
      </w:divBdr>
    </w:div>
    <w:div w:id="652103057">
      <w:bodyDiv w:val="1"/>
      <w:marLeft w:val="0"/>
      <w:marRight w:val="0"/>
      <w:marTop w:val="0"/>
      <w:marBottom w:val="0"/>
      <w:divBdr>
        <w:top w:val="none" w:sz="0" w:space="0" w:color="auto"/>
        <w:left w:val="none" w:sz="0" w:space="0" w:color="auto"/>
        <w:bottom w:val="none" w:sz="0" w:space="0" w:color="auto"/>
        <w:right w:val="none" w:sz="0" w:space="0" w:color="auto"/>
      </w:divBdr>
    </w:div>
    <w:div w:id="652829155">
      <w:bodyDiv w:val="1"/>
      <w:marLeft w:val="0"/>
      <w:marRight w:val="0"/>
      <w:marTop w:val="0"/>
      <w:marBottom w:val="0"/>
      <w:divBdr>
        <w:top w:val="none" w:sz="0" w:space="0" w:color="auto"/>
        <w:left w:val="none" w:sz="0" w:space="0" w:color="auto"/>
        <w:bottom w:val="none" w:sz="0" w:space="0" w:color="auto"/>
        <w:right w:val="none" w:sz="0" w:space="0" w:color="auto"/>
      </w:divBdr>
    </w:div>
    <w:div w:id="659651390">
      <w:bodyDiv w:val="1"/>
      <w:marLeft w:val="0"/>
      <w:marRight w:val="0"/>
      <w:marTop w:val="0"/>
      <w:marBottom w:val="0"/>
      <w:divBdr>
        <w:top w:val="none" w:sz="0" w:space="0" w:color="auto"/>
        <w:left w:val="none" w:sz="0" w:space="0" w:color="auto"/>
        <w:bottom w:val="none" w:sz="0" w:space="0" w:color="auto"/>
        <w:right w:val="none" w:sz="0" w:space="0" w:color="auto"/>
      </w:divBdr>
    </w:div>
    <w:div w:id="714237987">
      <w:bodyDiv w:val="1"/>
      <w:marLeft w:val="0"/>
      <w:marRight w:val="0"/>
      <w:marTop w:val="0"/>
      <w:marBottom w:val="0"/>
      <w:divBdr>
        <w:top w:val="none" w:sz="0" w:space="0" w:color="auto"/>
        <w:left w:val="none" w:sz="0" w:space="0" w:color="auto"/>
        <w:bottom w:val="none" w:sz="0" w:space="0" w:color="auto"/>
        <w:right w:val="none" w:sz="0" w:space="0" w:color="auto"/>
      </w:divBdr>
    </w:div>
    <w:div w:id="724525962">
      <w:bodyDiv w:val="1"/>
      <w:marLeft w:val="0"/>
      <w:marRight w:val="0"/>
      <w:marTop w:val="0"/>
      <w:marBottom w:val="0"/>
      <w:divBdr>
        <w:top w:val="none" w:sz="0" w:space="0" w:color="auto"/>
        <w:left w:val="none" w:sz="0" w:space="0" w:color="auto"/>
        <w:bottom w:val="none" w:sz="0" w:space="0" w:color="auto"/>
        <w:right w:val="none" w:sz="0" w:space="0" w:color="auto"/>
      </w:divBdr>
    </w:div>
    <w:div w:id="731344930">
      <w:bodyDiv w:val="1"/>
      <w:marLeft w:val="0"/>
      <w:marRight w:val="0"/>
      <w:marTop w:val="0"/>
      <w:marBottom w:val="0"/>
      <w:divBdr>
        <w:top w:val="none" w:sz="0" w:space="0" w:color="auto"/>
        <w:left w:val="none" w:sz="0" w:space="0" w:color="auto"/>
        <w:bottom w:val="none" w:sz="0" w:space="0" w:color="auto"/>
        <w:right w:val="none" w:sz="0" w:space="0" w:color="auto"/>
      </w:divBdr>
    </w:div>
    <w:div w:id="733814089">
      <w:bodyDiv w:val="1"/>
      <w:marLeft w:val="0"/>
      <w:marRight w:val="0"/>
      <w:marTop w:val="0"/>
      <w:marBottom w:val="0"/>
      <w:divBdr>
        <w:top w:val="none" w:sz="0" w:space="0" w:color="auto"/>
        <w:left w:val="none" w:sz="0" w:space="0" w:color="auto"/>
        <w:bottom w:val="none" w:sz="0" w:space="0" w:color="auto"/>
        <w:right w:val="none" w:sz="0" w:space="0" w:color="auto"/>
      </w:divBdr>
    </w:div>
    <w:div w:id="839810063">
      <w:bodyDiv w:val="1"/>
      <w:marLeft w:val="0"/>
      <w:marRight w:val="0"/>
      <w:marTop w:val="0"/>
      <w:marBottom w:val="0"/>
      <w:divBdr>
        <w:top w:val="none" w:sz="0" w:space="0" w:color="auto"/>
        <w:left w:val="none" w:sz="0" w:space="0" w:color="auto"/>
        <w:bottom w:val="none" w:sz="0" w:space="0" w:color="auto"/>
        <w:right w:val="none" w:sz="0" w:space="0" w:color="auto"/>
      </w:divBdr>
    </w:div>
    <w:div w:id="895891149">
      <w:bodyDiv w:val="1"/>
      <w:marLeft w:val="0"/>
      <w:marRight w:val="0"/>
      <w:marTop w:val="0"/>
      <w:marBottom w:val="0"/>
      <w:divBdr>
        <w:top w:val="none" w:sz="0" w:space="0" w:color="auto"/>
        <w:left w:val="none" w:sz="0" w:space="0" w:color="auto"/>
        <w:bottom w:val="none" w:sz="0" w:space="0" w:color="auto"/>
        <w:right w:val="none" w:sz="0" w:space="0" w:color="auto"/>
      </w:divBdr>
    </w:div>
    <w:div w:id="960651621">
      <w:bodyDiv w:val="1"/>
      <w:marLeft w:val="0"/>
      <w:marRight w:val="0"/>
      <w:marTop w:val="0"/>
      <w:marBottom w:val="0"/>
      <w:divBdr>
        <w:top w:val="none" w:sz="0" w:space="0" w:color="auto"/>
        <w:left w:val="none" w:sz="0" w:space="0" w:color="auto"/>
        <w:bottom w:val="none" w:sz="0" w:space="0" w:color="auto"/>
        <w:right w:val="none" w:sz="0" w:space="0" w:color="auto"/>
      </w:divBdr>
    </w:div>
    <w:div w:id="1000540803">
      <w:bodyDiv w:val="1"/>
      <w:marLeft w:val="0"/>
      <w:marRight w:val="0"/>
      <w:marTop w:val="0"/>
      <w:marBottom w:val="0"/>
      <w:divBdr>
        <w:top w:val="none" w:sz="0" w:space="0" w:color="auto"/>
        <w:left w:val="none" w:sz="0" w:space="0" w:color="auto"/>
        <w:bottom w:val="none" w:sz="0" w:space="0" w:color="auto"/>
        <w:right w:val="none" w:sz="0" w:space="0" w:color="auto"/>
      </w:divBdr>
    </w:div>
    <w:div w:id="1025671140">
      <w:bodyDiv w:val="1"/>
      <w:marLeft w:val="0"/>
      <w:marRight w:val="0"/>
      <w:marTop w:val="0"/>
      <w:marBottom w:val="0"/>
      <w:divBdr>
        <w:top w:val="none" w:sz="0" w:space="0" w:color="auto"/>
        <w:left w:val="none" w:sz="0" w:space="0" w:color="auto"/>
        <w:bottom w:val="none" w:sz="0" w:space="0" w:color="auto"/>
        <w:right w:val="none" w:sz="0" w:space="0" w:color="auto"/>
      </w:divBdr>
    </w:div>
    <w:div w:id="1040008019">
      <w:bodyDiv w:val="1"/>
      <w:marLeft w:val="0"/>
      <w:marRight w:val="0"/>
      <w:marTop w:val="0"/>
      <w:marBottom w:val="0"/>
      <w:divBdr>
        <w:top w:val="none" w:sz="0" w:space="0" w:color="auto"/>
        <w:left w:val="none" w:sz="0" w:space="0" w:color="auto"/>
        <w:bottom w:val="none" w:sz="0" w:space="0" w:color="auto"/>
        <w:right w:val="none" w:sz="0" w:space="0" w:color="auto"/>
      </w:divBdr>
    </w:div>
    <w:div w:id="1057820276">
      <w:bodyDiv w:val="1"/>
      <w:marLeft w:val="0"/>
      <w:marRight w:val="0"/>
      <w:marTop w:val="0"/>
      <w:marBottom w:val="0"/>
      <w:divBdr>
        <w:top w:val="none" w:sz="0" w:space="0" w:color="auto"/>
        <w:left w:val="none" w:sz="0" w:space="0" w:color="auto"/>
        <w:bottom w:val="none" w:sz="0" w:space="0" w:color="auto"/>
        <w:right w:val="none" w:sz="0" w:space="0" w:color="auto"/>
      </w:divBdr>
    </w:div>
    <w:div w:id="1190408718">
      <w:bodyDiv w:val="1"/>
      <w:marLeft w:val="0"/>
      <w:marRight w:val="0"/>
      <w:marTop w:val="0"/>
      <w:marBottom w:val="0"/>
      <w:divBdr>
        <w:top w:val="none" w:sz="0" w:space="0" w:color="auto"/>
        <w:left w:val="none" w:sz="0" w:space="0" w:color="auto"/>
        <w:bottom w:val="none" w:sz="0" w:space="0" w:color="auto"/>
        <w:right w:val="none" w:sz="0" w:space="0" w:color="auto"/>
      </w:divBdr>
    </w:div>
    <w:div w:id="1223175638">
      <w:bodyDiv w:val="1"/>
      <w:marLeft w:val="0"/>
      <w:marRight w:val="0"/>
      <w:marTop w:val="0"/>
      <w:marBottom w:val="0"/>
      <w:divBdr>
        <w:top w:val="none" w:sz="0" w:space="0" w:color="auto"/>
        <w:left w:val="none" w:sz="0" w:space="0" w:color="auto"/>
        <w:bottom w:val="none" w:sz="0" w:space="0" w:color="auto"/>
        <w:right w:val="none" w:sz="0" w:space="0" w:color="auto"/>
      </w:divBdr>
    </w:div>
    <w:div w:id="1230457943">
      <w:bodyDiv w:val="1"/>
      <w:marLeft w:val="0"/>
      <w:marRight w:val="0"/>
      <w:marTop w:val="0"/>
      <w:marBottom w:val="0"/>
      <w:divBdr>
        <w:top w:val="none" w:sz="0" w:space="0" w:color="auto"/>
        <w:left w:val="none" w:sz="0" w:space="0" w:color="auto"/>
        <w:bottom w:val="none" w:sz="0" w:space="0" w:color="auto"/>
        <w:right w:val="none" w:sz="0" w:space="0" w:color="auto"/>
      </w:divBdr>
    </w:div>
    <w:div w:id="1274173035">
      <w:bodyDiv w:val="1"/>
      <w:marLeft w:val="0"/>
      <w:marRight w:val="0"/>
      <w:marTop w:val="0"/>
      <w:marBottom w:val="0"/>
      <w:divBdr>
        <w:top w:val="none" w:sz="0" w:space="0" w:color="auto"/>
        <w:left w:val="none" w:sz="0" w:space="0" w:color="auto"/>
        <w:bottom w:val="none" w:sz="0" w:space="0" w:color="auto"/>
        <w:right w:val="none" w:sz="0" w:space="0" w:color="auto"/>
      </w:divBdr>
    </w:div>
    <w:div w:id="1280911952">
      <w:bodyDiv w:val="1"/>
      <w:marLeft w:val="0"/>
      <w:marRight w:val="0"/>
      <w:marTop w:val="0"/>
      <w:marBottom w:val="0"/>
      <w:divBdr>
        <w:top w:val="none" w:sz="0" w:space="0" w:color="auto"/>
        <w:left w:val="none" w:sz="0" w:space="0" w:color="auto"/>
        <w:bottom w:val="none" w:sz="0" w:space="0" w:color="auto"/>
        <w:right w:val="none" w:sz="0" w:space="0" w:color="auto"/>
      </w:divBdr>
    </w:div>
    <w:div w:id="1325358455">
      <w:bodyDiv w:val="1"/>
      <w:marLeft w:val="0"/>
      <w:marRight w:val="0"/>
      <w:marTop w:val="0"/>
      <w:marBottom w:val="0"/>
      <w:divBdr>
        <w:top w:val="none" w:sz="0" w:space="0" w:color="auto"/>
        <w:left w:val="none" w:sz="0" w:space="0" w:color="auto"/>
        <w:bottom w:val="none" w:sz="0" w:space="0" w:color="auto"/>
        <w:right w:val="none" w:sz="0" w:space="0" w:color="auto"/>
      </w:divBdr>
    </w:div>
    <w:div w:id="1332490471">
      <w:bodyDiv w:val="1"/>
      <w:marLeft w:val="0"/>
      <w:marRight w:val="0"/>
      <w:marTop w:val="0"/>
      <w:marBottom w:val="0"/>
      <w:divBdr>
        <w:top w:val="none" w:sz="0" w:space="0" w:color="auto"/>
        <w:left w:val="none" w:sz="0" w:space="0" w:color="auto"/>
        <w:bottom w:val="none" w:sz="0" w:space="0" w:color="auto"/>
        <w:right w:val="none" w:sz="0" w:space="0" w:color="auto"/>
      </w:divBdr>
    </w:div>
    <w:div w:id="1344938776">
      <w:bodyDiv w:val="1"/>
      <w:marLeft w:val="0"/>
      <w:marRight w:val="0"/>
      <w:marTop w:val="0"/>
      <w:marBottom w:val="0"/>
      <w:divBdr>
        <w:top w:val="none" w:sz="0" w:space="0" w:color="auto"/>
        <w:left w:val="none" w:sz="0" w:space="0" w:color="auto"/>
        <w:bottom w:val="none" w:sz="0" w:space="0" w:color="auto"/>
        <w:right w:val="none" w:sz="0" w:space="0" w:color="auto"/>
      </w:divBdr>
    </w:div>
    <w:div w:id="1372613520">
      <w:bodyDiv w:val="1"/>
      <w:marLeft w:val="0"/>
      <w:marRight w:val="0"/>
      <w:marTop w:val="0"/>
      <w:marBottom w:val="0"/>
      <w:divBdr>
        <w:top w:val="none" w:sz="0" w:space="0" w:color="auto"/>
        <w:left w:val="none" w:sz="0" w:space="0" w:color="auto"/>
        <w:bottom w:val="none" w:sz="0" w:space="0" w:color="auto"/>
        <w:right w:val="none" w:sz="0" w:space="0" w:color="auto"/>
      </w:divBdr>
    </w:div>
    <w:div w:id="1378353500">
      <w:bodyDiv w:val="1"/>
      <w:marLeft w:val="0"/>
      <w:marRight w:val="0"/>
      <w:marTop w:val="0"/>
      <w:marBottom w:val="0"/>
      <w:divBdr>
        <w:top w:val="none" w:sz="0" w:space="0" w:color="auto"/>
        <w:left w:val="none" w:sz="0" w:space="0" w:color="auto"/>
        <w:bottom w:val="none" w:sz="0" w:space="0" w:color="auto"/>
        <w:right w:val="none" w:sz="0" w:space="0" w:color="auto"/>
      </w:divBdr>
    </w:div>
    <w:div w:id="1447306911">
      <w:bodyDiv w:val="1"/>
      <w:marLeft w:val="0"/>
      <w:marRight w:val="0"/>
      <w:marTop w:val="0"/>
      <w:marBottom w:val="0"/>
      <w:divBdr>
        <w:top w:val="none" w:sz="0" w:space="0" w:color="auto"/>
        <w:left w:val="none" w:sz="0" w:space="0" w:color="auto"/>
        <w:bottom w:val="none" w:sz="0" w:space="0" w:color="auto"/>
        <w:right w:val="none" w:sz="0" w:space="0" w:color="auto"/>
      </w:divBdr>
    </w:div>
    <w:div w:id="1455442657">
      <w:bodyDiv w:val="1"/>
      <w:marLeft w:val="0"/>
      <w:marRight w:val="0"/>
      <w:marTop w:val="0"/>
      <w:marBottom w:val="0"/>
      <w:divBdr>
        <w:top w:val="none" w:sz="0" w:space="0" w:color="auto"/>
        <w:left w:val="none" w:sz="0" w:space="0" w:color="auto"/>
        <w:bottom w:val="none" w:sz="0" w:space="0" w:color="auto"/>
        <w:right w:val="none" w:sz="0" w:space="0" w:color="auto"/>
      </w:divBdr>
    </w:div>
    <w:div w:id="1488519820">
      <w:bodyDiv w:val="1"/>
      <w:marLeft w:val="0"/>
      <w:marRight w:val="0"/>
      <w:marTop w:val="0"/>
      <w:marBottom w:val="0"/>
      <w:divBdr>
        <w:top w:val="none" w:sz="0" w:space="0" w:color="auto"/>
        <w:left w:val="none" w:sz="0" w:space="0" w:color="auto"/>
        <w:bottom w:val="none" w:sz="0" w:space="0" w:color="auto"/>
        <w:right w:val="none" w:sz="0" w:space="0" w:color="auto"/>
      </w:divBdr>
    </w:div>
    <w:div w:id="1567490573">
      <w:bodyDiv w:val="1"/>
      <w:marLeft w:val="0"/>
      <w:marRight w:val="0"/>
      <w:marTop w:val="0"/>
      <w:marBottom w:val="0"/>
      <w:divBdr>
        <w:top w:val="none" w:sz="0" w:space="0" w:color="auto"/>
        <w:left w:val="none" w:sz="0" w:space="0" w:color="auto"/>
        <w:bottom w:val="none" w:sz="0" w:space="0" w:color="auto"/>
        <w:right w:val="none" w:sz="0" w:space="0" w:color="auto"/>
      </w:divBdr>
    </w:div>
    <w:div w:id="1612397486">
      <w:bodyDiv w:val="1"/>
      <w:marLeft w:val="0"/>
      <w:marRight w:val="0"/>
      <w:marTop w:val="0"/>
      <w:marBottom w:val="0"/>
      <w:divBdr>
        <w:top w:val="none" w:sz="0" w:space="0" w:color="auto"/>
        <w:left w:val="none" w:sz="0" w:space="0" w:color="auto"/>
        <w:bottom w:val="none" w:sz="0" w:space="0" w:color="auto"/>
        <w:right w:val="none" w:sz="0" w:space="0" w:color="auto"/>
      </w:divBdr>
    </w:div>
    <w:div w:id="1632131942">
      <w:bodyDiv w:val="1"/>
      <w:marLeft w:val="0"/>
      <w:marRight w:val="0"/>
      <w:marTop w:val="0"/>
      <w:marBottom w:val="0"/>
      <w:divBdr>
        <w:top w:val="none" w:sz="0" w:space="0" w:color="auto"/>
        <w:left w:val="none" w:sz="0" w:space="0" w:color="auto"/>
        <w:bottom w:val="none" w:sz="0" w:space="0" w:color="auto"/>
        <w:right w:val="none" w:sz="0" w:space="0" w:color="auto"/>
      </w:divBdr>
    </w:div>
    <w:div w:id="1632973553">
      <w:bodyDiv w:val="1"/>
      <w:marLeft w:val="0"/>
      <w:marRight w:val="0"/>
      <w:marTop w:val="0"/>
      <w:marBottom w:val="0"/>
      <w:divBdr>
        <w:top w:val="none" w:sz="0" w:space="0" w:color="auto"/>
        <w:left w:val="none" w:sz="0" w:space="0" w:color="auto"/>
        <w:bottom w:val="none" w:sz="0" w:space="0" w:color="auto"/>
        <w:right w:val="none" w:sz="0" w:space="0" w:color="auto"/>
      </w:divBdr>
    </w:div>
    <w:div w:id="1633628652">
      <w:bodyDiv w:val="1"/>
      <w:marLeft w:val="0"/>
      <w:marRight w:val="0"/>
      <w:marTop w:val="0"/>
      <w:marBottom w:val="0"/>
      <w:divBdr>
        <w:top w:val="none" w:sz="0" w:space="0" w:color="auto"/>
        <w:left w:val="none" w:sz="0" w:space="0" w:color="auto"/>
        <w:bottom w:val="none" w:sz="0" w:space="0" w:color="auto"/>
        <w:right w:val="none" w:sz="0" w:space="0" w:color="auto"/>
      </w:divBdr>
    </w:div>
    <w:div w:id="1672563798">
      <w:bodyDiv w:val="1"/>
      <w:marLeft w:val="0"/>
      <w:marRight w:val="0"/>
      <w:marTop w:val="0"/>
      <w:marBottom w:val="0"/>
      <w:divBdr>
        <w:top w:val="none" w:sz="0" w:space="0" w:color="auto"/>
        <w:left w:val="none" w:sz="0" w:space="0" w:color="auto"/>
        <w:bottom w:val="none" w:sz="0" w:space="0" w:color="auto"/>
        <w:right w:val="none" w:sz="0" w:space="0" w:color="auto"/>
      </w:divBdr>
    </w:div>
    <w:div w:id="1688944792">
      <w:bodyDiv w:val="1"/>
      <w:marLeft w:val="0"/>
      <w:marRight w:val="0"/>
      <w:marTop w:val="0"/>
      <w:marBottom w:val="0"/>
      <w:divBdr>
        <w:top w:val="none" w:sz="0" w:space="0" w:color="auto"/>
        <w:left w:val="none" w:sz="0" w:space="0" w:color="auto"/>
        <w:bottom w:val="none" w:sz="0" w:space="0" w:color="auto"/>
        <w:right w:val="none" w:sz="0" w:space="0" w:color="auto"/>
      </w:divBdr>
    </w:div>
    <w:div w:id="1753164321">
      <w:bodyDiv w:val="1"/>
      <w:marLeft w:val="0"/>
      <w:marRight w:val="0"/>
      <w:marTop w:val="0"/>
      <w:marBottom w:val="0"/>
      <w:divBdr>
        <w:top w:val="none" w:sz="0" w:space="0" w:color="auto"/>
        <w:left w:val="none" w:sz="0" w:space="0" w:color="auto"/>
        <w:bottom w:val="none" w:sz="0" w:space="0" w:color="auto"/>
        <w:right w:val="none" w:sz="0" w:space="0" w:color="auto"/>
      </w:divBdr>
    </w:div>
    <w:div w:id="1776057414">
      <w:bodyDiv w:val="1"/>
      <w:marLeft w:val="0"/>
      <w:marRight w:val="0"/>
      <w:marTop w:val="0"/>
      <w:marBottom w:val="0"/>
      <w:divBdr>
        <w:top w:val="none" w:sz="0" w:space="0" w:color="auto"/>
        <w:left w:val="none" w:sz="0" w:space="0" w:color="auto"/>
        <w:bottom w:val="none" w:sz="0" w:space="0" w:color="auto"/>
        <w:right w:val="none" w:sz="0" w:space="0" w:color="auto"/>
      </w:divBdr>
    </w:div>
    <w:div w:id="1809013665">
      <w:bodyDiv w:val="1"/>
      <w:marLeft w:val="0"/>
      <w:marRight w:val="0"/>
      <w:marTop w:val="0"/>
      <w:marBottom w:val="0"/>
      <w:divBdr>
        <w:top w:val="none" w:sz="0" w:space="0" w:color="auto"/>
        <w:left w:val="none" w:sz="0" w:space="0" w:color="auto"/>
        <w:bottom w:val="none" w:sz="0" w:space="0" w:color="auto"/>
        <w:right w:val="none" w:sz="0" w:space="0" w:color="auto"/>
      </w:divBdr>
    </w:div>
    <w:div w:id="1850296019">
      <w:bodyDiv w:val="1"/>
      <w:marLeft w:val="0"/>
      <w:marRight w:val="0"/>
      <w:marTop w:val="0"/>
      <w:marBottom w:val="0"/>
      <w:divBdr>
        <w:top w:val="none" w:sz="0" w:space="0" w:color="auto"/>
        <w:left w:val="none" w:sz="0" w:space="0" w:color="auto"/>
        <w:bottom w:val="none" w:sz="0" w:space="0" w:color="auto"/>
        <w:right w:val="none" w:sz="0" w:space="0" w:color="auto"/>
      </w:divBdr>
    </w:div>
    <w:div w:id="1852907882">
      <w:bodyDiv w:val="1"/>
      <w:marLeft w:val="0"/>
      <w:marRight w:val="0"/>
      <w:marTop w:val="0"/>
      <w:marBottom w:val="0"/>
      <w:divBdr>
        <w:top w:val="none" w:sz="0" w:space="0" w:color="auto"/>
        <w:left w:val="none" w:sz="0" w:space="0" w:color="auto"/>
        <w:bottom w:val="none" w:sz="0" w:space="0" w:color="auto"/>
        <w:right w:val="none" w:sz="0" w:space="0" w:color="auto"/>
      </w:divBdr>
    </w:div>
    <w:div w:id="1868718880">
      <w:bodyDiv w:val="1"/>
      <w:marLeft w:val="0"/>
      <w:marRight w:val="0"/>
      <w:marTop w:val="0"/>
      <w:marBottom w:val="0"/>
      <w:divBdr>
        <w:top w:val="none" w:sz="0" w:space="0" w:color="auto"/>
        <w:left w:val="none" w:sz="0" w:space="0" w:color="auto"/>
        <w:bottom w:val="none" w:sz="0" w:space="0" w:color="auto"/>
        <w:right w:val="none" w:sz="0" w:space="0" w:color="auto"/>
      </w:divBdr>
    </w:div>
    <w:div w:id="1896349825">
      <w:bodyDiv w:val="1"/>
      <w:marLeft w:val="0"/>
      <w:marRight w:val="0"/>
      <w:marTop w:val="0"/>
      <w:marBottom w:val="0"/>
      <w:divBdr>
        <w:top w:val="none" w:sz="0" w:space="0" w:color="auto"/>
        <w:left w:val="none" w:sz="0" w:space="0" w:color="auto"/>
        <w:bottom w:val="none" w:sz="0" w:space="0" w:color="auto"/>
        <w:right w:val="none" w:sz="0" w:space="0" w:color="auto"/>
      </w:divBdr>
    </w:div>
    <w:div w:id="1955214365">
      <w:bodyDiv w:val="1"/>
      <w:marLeft w:val="0"/>
      <w:marRight w:val="0"/>
      <w:marTop w:val="0"/>
      <w:marBottom w:val="0"/>
      <w:divBdr>
        <w:top w:val="none" w:sz="0" w:space="0" w:color="auto"/>
        <w:left w:val="none" w:sz="0" w:space="0" w:color="auto"/>
        <w:bottom w:val="none" w:sz="0" w:space="0" w:color="auto"/>
        <w:right w:val="none" w:sz="0" w:space="0" w:color="auto"/>
      </w:divBdr>
    </w:div>
    <w:div w:id="2042978102">
      <w:bodyDiv w:val="1"/>
      <w:marLeft w:val="0"/>
      <w:marRight w:val="0"/>
      <w:marTop w:val="0"/>
      <w:marBottom w:val="0"/>
      <w:divBdr>
        <w:top w:val="none" w:sz="0" w:space="0" w:color="auto"/>
        <w:left w:val="none" w:sz="0" w:space="0" w:color="auto"/>
        <w:bottom w:val="none" w:sz="0" w:space="0" w:color="auto"/>
        <w:right w:val="none" w:sz="0" w:space="0" w:color="auto"/>
      </w:divBdr>
    </w:div>
    <w:div w:id="2070759176">
      <w:bodyDiv w:val="1"/>
      <w:marLeft w:val="0"/>
      <w:marRight w:val="0"/>
      <w:marTop w:val="0"/>
      <w:marBottom w:val="0"/>
      <w:divBdr>
        <w:top w:val="none" w:sz="0" w:space="0" w:color="auto"/>
        <w:left w:val="none" w:sz="0" w:space="0" w:color="auto"/>
        <w:bottom w:val="none" w:sz="0" w:space="0" w:color="auto"/>
        <w:right w:val="none" w:sz="0" w:space="0" w:color="auto"/>
      </w:divBdr>
    </w:div>
    <w:div w:id="2120636835">
      <w:bodyDiv w:val="1"/>
      <w:marLeft w:val="0"/>
      <w:marRight w:val="0"/>
      <w:marTop w:val="0"/>
      <w:marBottom w:val="0"/>
      <w:divBdr>
        <w:top w:val="none" w:sz="0" w:space="0" w:color="auto"/>
        <w:left w:val="none" w:sz="0" w:space="0" w:color="auto"/>
        <w:bottom w:val="none" w:sz="0" w:space="0" w:color="auto"/>
        <w:right w:val="none" w:sz="0" w:space="0" w:color="auto"/>
      </w:divBdr>
    </w:div>
    <w:div w:id="213602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indiabudget.gov.in/economicsurvey/doc/echapt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F1CF9-0CEF-4665-9621-469B743DF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2367</Words>
  <Characters>13494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Ekta Tiwari</cp:lastModifiedBy>
  <cp:revision>7</cp:revision>
  <cp:lastPrinted>2025-04-29T10:48:00Z</cp:lastPrinted>
  <dcterms:created xsi:type="dcterms:W3CDTF">2025-05-06T09:24:00Z</dcterms:created>
  <dcterms:modified xsi:type="dcterms:W3CDTF">2025-05-06T09:32:00Z</dcterms:modified>
</cp:coreProperties>
</file>