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Operations Report</w:t>
      </w:r>
    </w:p>
    <w:p>
      <w:r>
        <w:t>Prepared for the board. Invoice 4417 was settled in full.</w:t>
      </w:r>
    </w:p>
    <w:p>
      <w:pPr>
        <w:pStyle w:val="Heading1"/>
      </w:pPr>
      <w:r>
        <w:t>Revenue</w:t>
      </w:r>
    </w:p>
    <w:p>
      <w:r>
        <w:t>Revenue grew while costs stayed flat.</w:t>
      </w:r>
    </w:p>
    <w:p>
      <w:pPr>
        <w:pStyle w:val="ListBullet"/>
      </w:pPr>
      <w:r>
        <w:t>Direct sales</w:t>
      </w:r>
    </w:p>
    <w:p>
      <w:pPr>
        <w:pStyle w:val="ListBullet"/>
      </w:pPr>
      <w:r>
        <w:t>Partner channel</w:t>
      </w:r>
    </w:p>
    <w:p>
      <w:pPr>
        <w:pStyle w:val="ListNumber"/>
      </w:pPr>
      <w:r>
        <w:t>First step</w:t>
      </w:r>
    </w:p>
    <w:p>
      <w:pPr>
        <w:pStyle w:val="ListNumber"/>
      </w:pPr>
      <w:r>
        <w:t>Second step</w:t>
      </w:r>
    </w:p>
    <w:p>
      <w:pPr>
        <w:pStyle w:val="Heading2"/>
      </w:pPr>
      <w:r>
        <w:t>Regional detail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Q2</w:t>
            </w:r>
          </w:p>
        </w:tc>
        <w:tc>
          <w:tcPr>
            <w:tcW w:type="dxa" w:w="2880"/>
          </w:tcPr>
          <w:p>
            <w:r>
              <w:t>Q3</w:t>
            </w:r>
          </w:p>
        </w:tc>
      </w:tr>
      <w:tr>
        <w:tc>
          <w:tcPr>
            <w:tcW w:type="dxa" w:w="2880"/>
          </w:tcPr>
          <w:p>
            <w:r>
              <w:t>EMEA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140</w:t>
            </w:r>
          </w:p>
        </w:tc>
      </w:tr>
      <w:tr>
        <w:tc>
          <w:tcPr>
            <w:tcW w:type="dxa" w:w="2880"/>
          </w:tcPr>
          <w:p>
            <w:r>
              <w:t>APAC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95</w:t>
            </w:r>
          </w:p>
        </w:tc>
      </w:tr>
    </w:tbl>
    <w:p>
      <w:r>
        <w:t xml:space="preserve">Details are on the next page. See </w:t>
      </w:r>
      <w:r>
        <w:rPr>
          <w:u w:val="single"/>
        </w:rPr>
        <w:t>the dashboard</w:t>
      </w:r>
    </w:p>
    <w:p>
      <w:r>
        <w:br w:type="page"/>
      </w:r>
    </w:p>
    <w:p>
      <w:pPr>
        <w:pStyle w:val="Heading1"/>
      </w:pPr>
      <w:r>
        <w:t>Risks</w:t>
      </w:r>
    </w:p>
    <w:p>
      <w:r>
        <w:t>Shipping to Rotterdam may be delayed.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Operations Report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