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33295739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10113788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33295893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10113942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02:45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33296054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10114103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05:11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05:17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33298247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10116296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21:47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21:53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33300957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10119006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21:45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33301557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10119606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04:30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04:36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33295126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10113175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20:24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20:30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33295226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10113275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21:15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21:20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33295846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10113895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02:14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33296230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10114279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07:20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07:25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33301564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10119613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05:02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05:08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33301952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10120001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08:35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08:41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33302004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10120053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09:09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09:14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33303255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10121304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33303751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10121800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6/16/2023 02:15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6/16/2023 02:21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33307945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10125994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33307972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10126021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33308006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10126055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33298052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10116101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19:34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19:40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33298075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10116124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20:03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20:09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33298302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10116351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22:26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33300779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10118828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19:39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33300815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10118864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20:01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20:07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33295126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10113175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19:38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19:39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33295846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10113895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01:31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33296054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10114103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04:29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33296230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10114279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06:37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06:39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33298052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10116101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18:48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18:49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33298075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10116124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19:17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19:18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33298247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10116296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21:02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21:03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33300779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10118828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18:47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18:48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33300815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10118864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19:16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19:17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33301557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10119606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03:47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03:48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33301564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10119613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04:18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04:19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33301952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10120001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07:52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07:54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33303751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10121800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6/16/2023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6/16/2023 01:32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33307945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10125994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33307972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10126021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33295195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10113244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17:53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17:59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33298190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10116239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20:56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21:01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33300896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10118945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20:53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20:59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33300925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10118974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18:16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18:27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33301679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10119728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05:57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06:03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33307995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10126044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33301726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10119775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03:21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33301514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10119563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02:39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PHYLLISRVOZA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02:45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33300735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10118784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18:10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18:16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33298231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10116280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18:29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33298024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10116073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18:10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18:16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33295711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10113760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23:54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23:59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33295068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10113117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16:55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17:07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33295028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10113077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19:34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19:39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33294978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10113027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33295297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10113346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33298383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10116432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33298771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10116820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01:50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33300742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10118791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33301671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10119720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05:35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6/15/2023 05:41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33308106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10126155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33308114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10126163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33310636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10128685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33300837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10118886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20:31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20:38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33298139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10116188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20:34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20:40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33296359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10114408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07:25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07:31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33294986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10113035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19:09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6/12/2023 19:15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1182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1182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6/20/2023 2:22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