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01/27/2023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02/06/2023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PACIFIC COAST LOGISTIX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33022883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02/02/2023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9840936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33022882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02/02/2023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9840935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33022885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02/02/2023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9840938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2/5/2023 10:06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