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02/17/2023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2/26/2023 11:39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