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5553A" w14:textId="328D2302" w:rsidR="00604E29" w:rsidRDefault="00164D65">
      <w:pPr>
        <w:spacing w:after="0"/>
        <w:jc w:val="center"/>
        <w:rPr>
          <w:b/>
          <w:sz w:val="24"/>
          <w:szCs w:val="24"/>
        </w:rPr>
      </w:pPr>
      <w:r>
        <w:rPr>
          <w:b/>
          <w:sz w:val="24"/>
          <w:szCs w:val="24"/>
        </w:rPr>
        <w:t>Project Design Phase</w:t>
      </w:r>
    </w:p>
    <w:p w14:paraId="0E538A2F" w14:textId="77777777" w:rsidR="00604E29" w:rsidRDefault="00164D65">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64D65">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164D65">
            <w:r>
              <w:t>Team ID</w:t>
            </w:r>
          </w:p>
        </w:tc>
        <w:tc>
          <w:tcPr>
            <w:tcW w:w="4335" w:type="dxa"/>
          </w:tcPr>
          <w:p w14:paraId="1AD8634F" w14:textId="2FA1E237" w:rsidR="00604E29" w:rsidRDefault="00164D65">
            <w:r>
              <w:t>LTVIP2025TMID47779</w:t>
            </w:r>
          </w:p>
        </w:tc>
      </w:tr>
      <w:tr w:rsidR="00604E29" w14:paraId="0E84FB5D" w14:textId="77777777">
        <w:tc>
          <w:tcPr>
            <w:tcW w:w="4695" w:type="dxa"/>
          </w:tcPr>
          <w:p w14:paraId="4C398D34" w14:textId="77777777" w:rsidR="00604E29" w:rsidRDefault="00164D65">
            <w:r>
              <w:t>Project Name</w:t>
            </w:r>
          </w:p>
        </w:tc>
        <w:tc>
          <w:tcPr>
            <w:tcW w:w="4335" w:type="dxa"/>
          </w:tcPr>
          <w:p w14:paraId="56EAF34F" w14:textId="59324CCD" w:rsidR="00604E29" w:rsidRDefault="00164D65">
            <w:r>
              <w:t>Visualization Tool For Electric Vehicle Charge And Range Analysis</w:t>
            </w:r>
            <w:bookmarkStart w:id="0" w:name="_GoBack"/>
            <w:bookmarkEnd w:id="0"/>
          </w:p>
        </w:tc>
      </w:tr>
      <w:tr w:rsidR="00604E29" w14:paraId="271BDBA3" w14:textId="77777777">
        <w:tc>
          <w:tcPr>
            <w:tcW w:w="4695" w:type="dxa"/>
          </w:tcPr>
          <w:p w14:paraId="1EABD436" w14:textId="77777777" w:rsidR="00604E29" w:rsidRDefault="00164D65">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164D65">
      <w:pPr>
        <w:rPr>
          <w:b/>
        </w:rPr>
      </w:pPr>
      <w:r>
        <w:rPr>
          <w:b/>
        </w:rPr>
        <w:t>Proposed Solution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1815"/>
        <w:gridCol w:w="6679"/>
      </w:tblGrid>
      <w:tr w:rsidR="00164D65" w:rsidRPr="00164D65" w14:paraId="15CAFB9B" w14:textId="77777777" w:rsidTr="00164D65">
        <w:trPr>
          <w:tblHeader/>
          <w:tblCellSpacing w:w="15" w:type="dxa"/>
        </w:trPr>
        <w:tc>
          <w:tcPr>
            <w:tcW w:w="0" w:type="auto"/>
            <w:vAlign w:val="center"/>
            <w:hideMark/>
          </w:tcPr>
          <w:p w14:paraId="7386EF6E" w14:textId="77777777" w:rsidR="00164D65" w:rsidRPr="00164D65" w:rsidRDefault="00164D65" w:rsidP="00164D65">
            <w:pPr>
              <w:spacing w:after="0" w:line="240" w:lineRule="auto"/>
              <w:jc w:val="center"/>
              <w:rPr>
                <w:rFonts w:ascii="Times New Roman" w:eastAsia="Times New Roman" w:hAnsi="Times New Roman" w:cs="Times New Roman"/>
                <w:b/>
                <w:bCs/>
                <w:sz w:val="24"/>
                <w:szCs w:val="24"/>
              </w:rPr>
            </w:pPr>
            <w:proofErr w:type="spellStart"/>
            <w:r w:rsidRPr="00164D65">
              <w:rPr>
                <w:rFonts w:ascii="Times New Roman" w:eastAsia="Times New Roman" w:hAnsi="Times New Roman" w:cs="Times New Roman"/>
                <w:b/>
                <w:bCs/>
                <w:sz w:val="24"/>
                <w:szCs w:val="24"/>
              </w:rPr>
              <w:t>S.No</w:t>
            </w:r>
            <w:proofErr w:type="spellEnd"/>
            <w:r w:rsidRPr="00164D65">
              <w:rPr>
                <w:rFonts w:ascii="Times New Roman" w:eastAsia="Times New Roman" w:hAnsi="Times New Roman" w:cs="Times New Roman"/>
                <w:b/>
                <w:bCs/>
                <w:sz w:val="24"/>
                <w:szCs w:val="24"/>
              </w:rPr>
              <w:t>.</w:t>
            </w:r>
          </w:p>
        </w:tc>
        <w:tc>
          <w:tcPr>
            <w:tcW w:w="0" w:type="auto"/>
            <w:vAlign w:val="center"/>
            <w:hideMark/>
          </w:tcPr>
          <w:p w14:paraId="1A9C31DE" w14:textId="77777777" w:rsidR="00164D65" w:rsidRPr="00164D65" w:rsidRDefault="00164D65" w:rsidP="00164D65">
            <w:pPr>
              <w:spacing w:after="0" w:line="240" w:lineRule="auto"/>
              <w:jc w:val="center"/>
              <w:rPr>
                <w:rFonts w:ascii="Times New Roman" w:eastAsia="Times New Roman" w:hAnsi="Times New Roman" w:cs="Times New Roman"/>
                <w:b/>
                <w:bCs/>
                <w:sz w:val="24"/>
                <w:szCs w:val="24"/>
              </w:rPr>
            </w:pPr>
            <w:r w:rsidRPr="00164D65">
              <w:rPr>
                <w:rFonts w:ascii="Times New Roman" w:eastAsia="Times New Roman" w:hAnsi="Times New Roman" w:cs="Times New Roman"/>
                <w:b/>
                <w:bCs/>
                <w:sz w:val="24"/>
                <w:szCs w:val="24"/>
              </w:rPr>
              <w:t>Parameter</w:t>
            </w:r>
          </w:p>
        </w:tc>
        <w:tc>
          <w:tcPr>
            <w:tcW w:w="0" w:type="auto"/>
            <w:vAlign w:val="center"/>
            <w:hideMark/>
          </w:tcPr>
          <w:p w14:paraId="7531E27E" w14:textId="77777777" w:rsidR="00164D65" w:rsidRPr="00164D65" w:rsidRDefault="00164D65" w:rsidP="00164D65">
            <w:pPr>
              <w:spacing w:after="0" w:line="240" w:lineRule="auto"/>
              <w:jc w:val="center"/>
              <w:rPr>
                <w:rFonts w:ascii="Times New Roman" w:eastAsia="Times New Roman" w:hAnsi="Times New Roman" w:cs="Times New Roman"/>
                <w:b/>
                <w:bCs/>
                <w:sz w:val="24"/>
                <w:szCs w:val="24"/>
              </w:rPr>
            </w:pPr>
            <w:r w:rsidRPr="00164D65">
              <w:rPr>
                <w:rFonts w:ascii="Times New Roman" w:eastAsia="Times New Roman" w:hAnsi="Times New Roman" w:cs="Times New Roman"/>
                <w:b/>
                <w:bCs/>
                <w:sz w:val="24"/>
                <w:szCs w:val="24"/>
              </w:rPr>
              <w:t>Description</w:t>
            </w:r>
          </w:p>
        </w:tc>
      </w:tr>
      <w:tr w:rsidR="00164D65" w:rsidRPr="00164D65" w14:paraId="6822075C" w14:textId="77777777" w:rsidTr="00164D65">
        <w:trPr>
          <w:tblCellSpacing w:w="15" w:type="dxa"/>
        </w:trPr>
        <w:tc>
          <w:tcPr>
            <w:tcW w:w="0" w:type="auto"/>
            <w:vAlign w:val="center"/>
            <w:hideMark/>
          </w:tcPr>
          <w:p w14:paraId="2723184A"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1.</w:t>
            </w:r>
          </w:p>
        </w:tc>
        <w:tc>
          <w:tcPr>
            <w:tcW w:w="0" w:type="auto"/>
            <w:vAlign w:val="center"/>
            <w:hideMark/>
          </w:tcPr>
          <w:p w14:paraId="0867A474"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Problem Statement</w:t>
            </w:r>
            <w:r w:rsidRPr="00164D65">
              <w:rPr>
                <w:rFonts w:ascii="Times New Roman" w:eastAsia="Times New Roman" w:hAnsi="Times New Roman" w:cs="Times New Roman"/>
                <w:sz w:val="24"/>
                <w:szCs w:val="24"/>
              </w:rPr>
              <w:t xml:space="preserve"> </w:t>
            </w:r>
            <w:r w:rsidRPr="00164D65">
              <w:rPr>
                <w:rFonts w:ascii="Times New Roman" w:eastAsia="Times New Roman" w:hAnsi="Times New Roman" w:cs="Times New Roman"/>
                <w:i/>
                <w:iCs/>
                <w:sz w:val="24"/>
                <w:szCs w:val="24"/>
              </w:rPr>
              <w:t>(Problem to be solved)</w:t>
            </w:r>
          </w:p>
        </w:tc>
        <w:tc>
          <w:tcPr>
            <w:tcW w:w="0" w:type="auto"/>
            <w:vAlign w:val="center"/>
            <w:hideMark/>
          </w:tcPr>
          <w:p w14:paraId="0B1CBA41"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xml:space="preserve">Lack of centralized, visual, and interactive tools for </w:t>
            </w:r>
            <w:proofErr w:type="spellStart"/>
            <w:r w:rsidRPr="00164D65">
              <w:rPr>
                <w:rFonts w:ascii="Times New Roman" w:eastAsia="Times New Roman" w:hAnsi="Times New Roman" w:cs="Times New Roman"/>
                <w:sz w:val="24"/>
                <w:szCs w:val="24"/>
              </w:rPr>
              <w:t>analyzing</w:t>
            </w:r>
            <w:proofErr w:type="spellEnd"/>
            <w:r w:rsidRPr="00164D65">
              <w:rPr>
                <w:rFonts w:ascii="Times New Roman" w:eastAsia="Times New Roman" w:hAnsi="Times New Roman" w:cs="Times New Roman"/>
                <w:sz w:val="24"/>
                <w:szCs w:val="24"/>
              </w:rPr>
              <w:t xml:space="preserve"> electric vehicle (EV) data such as charge patterns, range, battery performance, and adoption trends—especially comparing India and global contexts.</w:t>
            </w:r>
          </w:p>
        </w:tc>
      </w:tr>
      <w:tr w:rsidR="00164D65" w:rsidRPr="00164D65" w14:paraId="638CC93F" w14:textId="77777777" w:rsidTr="00164D65">
        <w:trPr>
          <w:tblCellSpacing w:w="15" w:type="dxa"/>
        </w:trPr>
        <w:tc>
          <w:tcPr>
            <w:tcW w:w="0" w:type="auto"/>
            <w:vAlign w:val="center"/>
            <w:hideMark/>
          </w:tcPr>
          <w:p w14:paraId="7C8133A7"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2.</w:t>
            </w:r>
          </w:p>
        </w:tc>
        <w:tc>
          <w:tcPr>
            <w:tcW w:w="0" w:type="auto"/>
            <w:vAlign w:val="center"/>
            <w:hideMark/>
          </w:tcPr>
          <w:p w14:paraId="03A788B4"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Idea / Solution Description</w:t>
            </w:r>
          </w:p>
        </w:tc>
        <w:tc>
          <w:tcPr>
            <w:tcW w:w="0" w:type="auto"/>
            <w:vAlign w:val="center"/>
            <w:hideMark/>
          </w:tcPr>
          <w:p w14:paraId="4D341EC2"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A responsive web application that embeds Tableau-based dashboards and stories to provide users with meaningful, interactive EV data insights. The solution integrates datasets from India and globally to offer comparisons across EV models, battery types, usage patterns, and performance trends.</w:t>
            </w:r>
          </w:p>
        </w:tc>
      </w:tr>
      <w:tr w:rsidR="00164D65" w:rsidRPr="00164D65" w14:paraId="7784CE2D" w14:textId="77777777" w:rsidTr="00164D65">
        <w:trPr>
          <w:tblCellSpacing w:w="15" w:type="dxa"/>
        </w:trPr>
        <w:tc>
          <w:tcPr>
            <w:tcW w:w="0" w:type="auto"/>
            <w:vAlign w:val="center"/>
            <w:hideMark/>
          </w:tcPr>
          <w:p w14:paraId="2B116EBF"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3.</w:t>
            </w:r>
          </w:p>
        </w:tc>
        <w:tc>
          <w:tcPr>
            <w:tcW w:w="0" w:type="auto"/>
            <w:vAlign w:val="center"/>
            <w:hideMark/>
          </w:tcPr>
          <w:p w14:paraId="56D26EB3"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Novelty / Uniqueness</w:t>
            </w:r>
          </w:p>
        </w:tc>
        <w:tc>
          <w:tcPr>
            <w:tcW w:w="0" w:type="auto"/>
            <w:vAlign w:val="center"/>
            <w:hideMark/>
          </w:tcPr>
          <w:p w14:paraId="61EDB6A5"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Integrates data visualization and storytelling into a single interface</w:t>
            </w:r>
            <w:proofErr w:type="gramStart"/>
            <w:r w:rsidRPr="00164D65">
              <w:rPr>
                <w:rFonts w:ascii="Times New Roman" w:eastAsia="Times New Roman" w:hAnsi="Times New Roman" w:cs="Times New Roman"/>
                <w:sz w:val="24"/>
                <w:szCs w:val="24"/>
              </w:rPr>
              <w:t>.-</w:t>
            </w:r>
            <w:proofErr w:type="gramEnd"/>
            <w:r w:rsidRPr="00164D65">
              <w:rPr>
                <w:rFonts w:ascii="Times New Roman" w:eastAsia="Times New Roman" w:hAnsi="Times New Roman" w:cs="Times New Roman"/>
                <w:sz w:val="24"/>
                <w:szCs w:val="24"/>
              </w:rPr>
              <w:t xml:space="preserve"> Focus on Indian EV context with global benchmarking.- Uses low-code tools (Tableau Public + HTML/CSS) to deliver fast, scalable insights.- No existing open-source dashboard offering this level of interactivity for EV analytics.</w:t>
            </w:r>
          </w:p>
        </w:tc>
      </w:tr>
      <w:tr w:rsidR="00164D65" w:rsidRPr="00164D65" w14:paraId="32962DB8" w14:textId="77777777" w:rsidTr="00164D65">
        <w:trPr>
          <w:tblCellSpacing w:w="15" w:type="dxa"/>
        </w:trPr>
        <w:tc>
          <w:tcPr>
            <w:tcW w:w="0" w:type="auto"/>
            <w:vAlign w:val="center"/>
            <w:hideMark/>
          </w:tcPr>
          <w:p w14:paraId="3CE68650"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4.</w:t>
            </w:r>
          </w:p>
        </w:tc>
        <w:tc>
          <w:tcPr>
            <w:tcW w:w="0" w:type="auto"/>
            <w:vAlign w:val="center"/>
            <w:hideMark/>
          </w:tcPr>
          <w:p w14:paraId="72BB8F8A"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Social Impact / Customer Satisfaction</w:t>
            </w:r>
          </w:p>
        </w:tc>
        <w:tc>
          <w:tcPr>
            <w:tcW w:w="0" w:type="auto"/>
            <w:vAlign w:val="center"/>
            <w:hideMark/>
          </w:tcPr>
          <w:p w14:paraId="207E913A"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Promotes cleaner mobility by helping users make data-driven EV purchase decisions.- Reduces range anxiety and misinformation.- Supports government, researchers, and businesses in understanding adoption patterns.- Enhances customer satisfaction through transparency and informed choices.</w:t>
            </w:r>
          </w:p>
        </w:tc>
      </w:tr>
      <w:tr w:rsidR="00164D65" w:rsidRPr="00164D65" w14:paraId="21A448BD" w14:textId="77777777" w:rsidTr="00164D65">
        <w:trPr>
          <w:tblCellSpacing w:w="15" w:type="dxa"/>
        </w:trPr>
        <w:tc>
          <w:tcPr>
            <w:tcW w:w="0" w:type="auto"/>
            <w:vAlign w:val="center"/>
            <w:hideMark/>
          </w:tcPr>
          <w:p w14:paraId="4664C8E8"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5.</w:t>
            </w:r>
          </w:p>
        </w:tc>
        <w:tc>
          <w:tcPr>
            <w:tcW w:w="0" w:type="auto"/>
            <w:vAlign w:val="center"/>
            <w:hideMark/>
          </w:tcPr>
          <w:p w14:paraId="237C36B0"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Business Model (Revenue Model)</w:t>
            </w:r>
          </w:p>
        </w:tc>
        <w:tc>
          <w:tcPr>
            <w:tcW w:w="0" w:type="auto"/>
            <w:vAlign w:val="center"/>
            <w:hideMark/>
          </w:tcPr>
          <w:p w14:paraId="6F4ABF92"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Freemium model with basic dashboards public, and premium access for advanced analytics</w:t>
            </w:r>
            <w:proofErr w:type="gramStart"/>
            <w:r w:rsidRPr="00164D65">
              <w:rPr>
                <w:rFonts w:ascii="Times New Roman" w:eastAsia="Times New Roman" w:hAnsi="Times New Roman" w:cs="Times New Roman"/>
                <w:sz w:val="24"/>
                <w:szCs w:val="24"/>
              </w:rPr>
              <w:t>.-</w:t>
            </w:r>
            <w:proofErr w:type="gramEnd"/>
            <w:r w:rsidRPr="00164D65">
              <w:rPr>
                <w:rFonts w:ascii="Times New Roman" w:eastAsia="Times New Roman" w:hAnsi="Times New Roman" w:cs="Times New Roman"/>
                <w:sz w:val="24"/>
                <w:szCs w:val="24"/>
              </w:rPr>
              <w:t xml:space="preserve"> Partnerships with EV companies for data-driven insights.- Custom dashboard creation as a service for researchers or organizations.</w:t>
            </w:r>
          </w:p>
        </w:tc>
      </w:tr>
      <w:tr w:rsidR="00164D65" w:rsidRPr="00164D65" w14:paraId="36A3C1BC" w14:textId="77777777" w:rsidTr="00164D65">
        <w:trPr>
          <w:tblCellSpacing w:w="15" w:type="dxa"/>
        </w:trPr>
        <w:tc>
          <w:tcPr>
            <w:tcW w:w="0" w:type="auto"/>
            <w:vAlign w:val="center"/>
            <w:hideMark/>
          </w:tcPr>
          <w:p w14:paraId="36874883"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6.</w:t>
            </w:r>
          </w:p>
        </w:tc>
        <w:tc>
          <w:tcPr>
            <w:tcW w:w="0" w:type="auto"/>
            <w:vAlign w:val="center"/>
            <w:hideMark/>
          </w:tcPr>
          <w:p w14:paraId="7EF598DC"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b/>
                <w:bCs/>
                <w:sz w:val="24"/>
                <w:szCs w:val="24"/>
              </w:rPr>
              <w:t>Scalability of the Solution</w:t>
            </w:r>
          </w:p>
        </w:tc>
        <w:tc>
          <w:tcPr>
            <w:tcW w:w="0" w:type="auto"/>
            <w:vAlign w:val="center"/>
            <w:hideMark/>
          </w:tcPr>
          <w:p w14:paraId="2EF636DE" w14:textId="77777777" w:rsidR="00164D65" w:rsidRPr="00164D65" w:rsidRDefault="00164D65" w:rsidP="00164D65">
            <w:pPr>
              <w:spacing w:after="0" w:line="240" w:lineRule="auto"/>
              <w:rPr>
                <w:rFonts w:ascii="Times New Roman" w:eastAsia="Times New Roman" w:hAnsi="Times New Roman" w:cs="Times New Roman"/>
                <w:sz w:val="24"/>
                <w:szCs w:val="24"/>
              </w:rPr>
            </w:pPr>
            <w:r w:rsidRPr="00164D65">
              <w:rPr>
                <w:rFonts w:ascii="Times New Roman" w:eastAsia="Times New Roman" w:hAnsi="Times New Roman" w:cs="Times New Roman"/>
                <w:sz w:val="24"/>
                <w:szCs w:val="24"/>
              </w:rPr>
              <w:t>- Easily extendable by adding new datasets or dashboards</w:t>
            </w:r>
            <w:proofErr w:type="gramStart"/>
            <w:r w:rsidRPr="00164D65">
              <w:rPr>
                <w:rFonts w:ascii="Times New Roman" w:eastAsia="Times New Roman" w:hAnsi="Times New Roman" w:cs="Times New Roman"/>
                <w:sz w:val="24"/>
                <w:szCs w:val="24"/>
              </w:rPr>
              <w:t>.-</w:t>
            </w:r>
            <w:proofErr w:type="gramEnd"/>
            <w:r w:rsidRPr="00164D65">
              <w:rPr>
                <w:rFonts w:ascii="Times New Roman" w:eastAsia="Times New Roman" w:hAnsi="Times New Roman" w:cs="Times New Roman"/>
                <w:sz w:val="24"/>
                <w:szCs w:val="24"/>
              </w:rPr>
              <w:t xml:space="preserve"> Can integrate with APIs (e.g., real-time EV telemetry, charge station locators).- Web hosting and Tableau Public support mass access.- Expandable across other markets and regions globally.</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29"/>
    <w:rsid w:val="00164D65"/>
    <w:rsid w:val="00350B1D"/>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164D65"/>
    <w:rPr>
      <w:b/>
      <w:bCs/>
    </w:rPr>
  </w:style>
  <w:style w:type="character" w:styleId="Emphasis">
    <w:name w:val="Emphasis"/>
    <w:basedOn w:val="DefaultParagraphFont"/>
    <w:uiPriority w:val="20"/>
    <w:qFormat/>
    <w:rsid w:val="00164D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164D65"/>
    <w:rPr>
      <w:b/>
      <w:bCs/>
    </w:rPr>
  </w:style>
  <w:style w:type="character" w:styleId="Emphasis">
    <w:name w:val="Emphasis"/>
    <w:basedOn w:val="DefaultParagraphFont"/>
    <w:uiPriority w:val="20"/>
    <w:qFormat/>
    <w:rsid w:val="00164D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3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 PC</cp:lastModifiedBy>
  <cp:revision>5</cp:revision>
  <dcterms:created xsi:type="dcterms:W3CDTF">2022-09-18T16:51:00Z</dcterms:created>
  <dcterms:modified xsi:type="dcterms:W3CDTF">2025-06-26T12:16:00Z</dcterms:modified>
</cp:coreProperties>
</file>