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5F30D" w14:textId="77777777" w:rsidR="005E29F6" w:rsidRPr="00F60579" w:rsidRDefault="005E29F6" w:rsidP="005E29F6">
      <w:pPr>
        <w:pStyle w:val="Heading2"/>
        <w:rPr>
          <w:lang w:val="en-GB"/>
        </w:rPr>
      </w:pPr>
      <w:bookmarkStart w:id="0" w:name="_Toc235783984"/>
      <w:r w:rsidRPr="00F60579">
        <w:rPr>
          <w:lang w:val="en-GB"/>
        </w:rPr>
        <w:t>Comparison of FOLH1 with Known Prostate Cancer Biomarkers</w:t>
      </w:r>
      <w:r>
        <w:rPr>
          <w:lang w:val="en-GB"/>
        </w:rPr>
        <w:t xml:space="preserve"> (Primary Tumours)</w:t>
      </w:r>
      <w:bookmarkEnd w:id="0"/>
    </w:p>
    <w:p w14:paraId="7B59E4E1" w14:textId="77777777" w:rsidR="005E29F6" w:rsidRDefault="005E29F6" w:rsidP="005E29F6">
      <w:pPr>
        <w:rPr>
          <w:lang w:val="en-GB"/>
        </w:rPr>
      </w:pPr>
      <w:r w:rsidRPr="00F60579">
        <w:rPr>
          <w:lang w:val="en-GB"/>
        </w:rPr>
        <w:t xml:space="preserve">To contextualize FOLH1 co-expression, a panel of known biomarkers and lineage-associated genes was selected. Several genes, including AR, PTEN, CDH1, and VIM, are biologically relevant to pancreatic cancer progression, while others such as KLK3, NKX3-1, TMPRSS2, and ERG are primarily prostate-associated and were included to compare FOLH1 with a prostate lineage signature. </w:t>
      </w:r>
      <w:r>
        <w:rPr>
          <w:lang w:val="en-GB"/>
        </w:rPr>
        <w:t xml:space="preserve">New biomarkers mentioned by Felecia during our meeting were also included and highlighted in the table below. </w:t>
      </w:r>
      <w:r w:rsidRPr="00F60579">
        <w:rPr>
          <w:lang w:val="en-GB"/>
        </w:rPr>
        <w:t>They were all then compared with FOLH1 expression to check for expression patterns.</w:t>
      </w:r>
    </w:p>
    <w:p w14:paraId="42AE7D8E" w14:textId="7FC01F79" w:rsidR="005E29F6" w:rsidRDefault="005E29F6" w:rsidP="005E29F6">
      <w:pPr>
        <w:rPr>
          <w:lang w:val="en-GB"/>
        </w:rPr>
      </w:pPr>
      <w:r>
        <w:rPr>
          <w:lang w:val="en-GB"/>
        </w:rPr>
        <w:t xml:space="preserve">Each biomarker was then also used to split samples into low and high expression groups based on the median cut-off, and KM plots that produced a significant Hazard ratio are included below. </w:t>
      </w:r>
    </w:p>
    <w:p w14:paraId="3B138721" w14:textId="77777777" w:rsidR="005E29F6" w:rsidRDefault="005E29F6" w:rsidP="005E29F6">
      <w:pPr>
        <w:rPr>
          <w:lang w:val="en-GB"/>
        </w:rPr>
      </w:pPr>
    </w:p>
    <w:p w14:paraId="7733CEF5" w14:textId="77777777" w:rsidR="005E29F6" w:rsidRDefault="005E29F6" w:rsidP="005E29F6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1AA2446B" wp14:editId="5E278A1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30950" cy="49244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978245" w14:textId="77777777" w:rsidR="005E29F6" w:rsidRPr="0086284C" w:rsidRDefault="005E29F6" w:rsidP="005E29F6">
      <w:pPr>
        <w:rPr>
          <w:b/>
          <w:bCs/>
          <w:lang w:val="en-GB"/>
        </w:rPr>
      </w:pPr>
      <w:r>
        <w:rPr>
          <w:b/>
          <w:bCs/>
          <w:lang w:val="en-GB"/>
        </w:rPr>
        <w:t>Biomarkers and their Spearman</w:t>
      </w:r>
      <w:r w:rsidRPr="0086284C">
        <w:rPr>
          <w:b/>
          <w:bCs/>
          <w:lang w:val="en-GB"/>
        </w:rPr>
        <w:t xml:space="preserve"> correlation summary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1559"/>
        <w:gridCol w:w="3402"/>
      </w:tblGrid>
      <w:tr w:rsidR="005E29F6" w:rsidRPr="00D643AD" w14:paraId="7D748ED9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646D4EE1" w14:textId="77777777" w:rsidR="005E29F6" w:rsidRPr="00D643AD" w:rsidRDefault="005E29F6" w:rsidP="00533B82">
            <w:pPr>
              <w:rPr>
                <w:b/>
                <w:bCs/>
              </w:rPr>
            </w:pPr>
            <w:r w:rsidRPr="00D643AD">
              <w:rPr>
                <w:b/>
                <w:bCs/>
              </w:rPr>
              <w:lastRenderedPageBreak/>
              <w:t>Gene</w:t>
            </w:r>
          </w:p>
        </w:tc>
        <w:tc>
          <w:tcPr>
            <w:tcW w:w="1843" w:type="dxa"/>
          </w:tcPr>
          <w:p w14:paraId="50780852" w14:textId="77777777" w:rsidR="005E29F6" w:rsidRPr="00D643AD" w:rsidRDefault="005E29F6" w:rsidP="00533B82">
            <w:pPr>
              <w:rPr>
                <w:b/>
                <w:bCs/>
              </w:rPr>
            </w:pPr>
            <w:r>
              <w:rPr>
                <w:b/>
                <w:bCs/>
              </w:rPr>
              <w:t>Protein biomarker</w:t>
            </w:r>
          </w:p>
        </w:tc>
        <w:tc>
          <w:tcPr>
            <w:tcW w:w="1701" w:type="dxa"/>
            <w:noWrap/>
            <w:hideMark/>
          </w:tcPr>
          <w:p w14:paraId="27E411ED" w14:textId="77777777" w:rsidR="005E29F6" w:rsidRPr="00D643AD" w:rsidRDefault="005E29F6" w:rsidP="00533B82">
            <w:pPr>
              <w:rPr>
                <w:b/>
                <w:bCs/>
              </w:rPr>
            </w:pPr>
            <w:r w:rsidRPr="00D643AD">
              <w:rPr>
                <w:b/>
                <w:bCs/>
              </w:rPr>
              <w:t>Rho</w:t>
            </w:r>
          </w:p>
        </w:tc>
        <w:tc>
          <w:tcPr>
            <w:tcW w:w="1559" w:type="dxa"/>
            <w:noWrap/>
            <w:hideMark/>
          </w:tcPr>
          <w:p w14:paraId="7390664B" w14:textId="77777777" w:rsidR="005E29F6" w:rsidRPr="00D643AD" w:rsidRDefault="005E29F6" w:rsidP="00533B82">
            <w:pPr>
              <w:rPr>
                <w:b/>
                <w:bCs/>
              </w:rPr>
            </w:pPr>
            <w:r w:rsidRPr="00D643AD">
              <w:rPr>
                <w:b/>
                <w:bCs/>
              </w:rPr>
              <w:t>P Value</w:t>
            </w:r>
          </w:p>
        </w:tc>
        <w:tc>
          <w:tcPr>
            <w:tcW w:w="3402" w:type="dxa"/>
          </w:tcPr>
          <w:p w14:paraId="05B14A1B" w14:textId="77777777" w:rsidR="005E29F6" w:rsidRPr="00D643AD" w:rsidRDefault="005E29F6" w:rsidP="00533B82">
            <w:pPr>
              <w:rPr>
                <w:b/>
                <w:bCs/>
              </w:rPr>
            </w:pPr>
            <w:r>
              <w:rPr>
                <w:b/>
                <w:bCs/>
              </w:rPr>
              <w:t>Relevance to Pca</w:t>
            </w:r>
          </w:p>
        </w:tc>
      </w:tr>
      <w:tr w:rsidR="005E29F6" w:rsidRPr="00D643AD" w14:paraId="638AC294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7B991F01" w14:textId="77777777" w:rsidR="005E29F6" w:rsidRPr="00D643AD" w:rsidRDefault="005E29F6" w:rsidP="00533B82">
            <w:r w:rsidRPr="00D643AD">
              <w:t>KLK3</w:t>
            </w:r>
          </w:p>
        </w:tc>
        <w:tc>
          <w:tcPr>
            <w:tcW w:w="1843" w:type="dxa"/>
          </w:tcPr>
          <w:p w14:paraId="3C475316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174B5839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0.302852</w:t>
            </w:r>
          </w:p>
        </w:tc>
        <w:tc>
          <w:tcPr>
            <w:tcW w:w="1559" w:type="dxa"/>
            <w:noWrap/>
            <w:hideMark/>
          </w:tcPr>
          <w:p w14:paraId="40844565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3.78E-11</w:t>
            </w:r>
          </w:p>
        </w:tc>
        <w:tc>
          <w:tcPr>
            <w:tcW w:w="3402" w:type="dxa"/>
          </w:tcPr>
          <w:p w14:paraId="2D67007F" w14:textId="77777777" w:rsidR="005E29F6" w:rsidRPr="00A07E22" w:rsidRDefault="005E29F6" w:rsidP="00533B82">
            <w:pPr>
              <w:rPr>
                <w:color w:val="00B050"/>
              </w:rPr>
            </w:pPr>
            <w:r>
              <w:rPr>
                <w:rFonts w:ascii="Arial" w:eastAsia="Times New Roman" w:hAnsi="Arial" w:cs="Arial"/>
                <w:kern w:val="0"/>
                <w:lang w:val="en-GB" w:eastAsia="en-SE" w:bidi="ar-SA"/>
                <w14:ligatures w14:val="none"/>
              </w:rPr>
              <w:t>Encodes</w:t>
            </w: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 xml:space="preserve"> PSA and is one of the best-known </w:t>
            </w:r>
            <w:r>
              <w:rPr>
                <w:rFonts w:ascii="Arial" w:eastAsia="Times New Roman" w:hAnsi="Arial" w:cs="Arial"/>
                <w:kern w:val="0"/>
                <w:lang w:val="en-GB" w:eastAsia="en-SE" w:bidi="ar-SA"/>
                <w14:ligatures w14:val="none"/>
              </w:rPr>
              <w:t>Pca</w:t>
            </w: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 xml:space="preserve"> biomarkers.</w:t>
            </w:r>
          </w:p>
        </w:tc>
      </w:tr>
      <w:tr w:rsidR="005E29F6" w:rsidRPr="00D643AD" w14:paraId="67E9B8F1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5D579BAE" w14:textId="77777777" w:rsidR="005E29F6" w:rsidRPr="00D643AD" w:rsidRDefault="005E29F6" w:rsidP="00533B82">
            <w:r w:rsidRPr="00D643AD">
              <w:t>CDH1</w:t>
            </w:r>
          </w:p>
        </w:tc>
        <w:tc>
          <w:tcPr>
            <w:tcW w:w="1843" w:type="dxa"/>
          </w:tcPr>
          <w:p w14:paraId="04FC3BFB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5B95B086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0.279127</w:t>
            </w:r>
          </w:p>
        </w:tc>
        <w:tc>
          <w:tcPr>
            <w:tcW w:w="1559" w:type="dxa"/>
            <w:noWrap/>
            <w:hideMark/>
          </w:tcPr>
          <w:p w14:paraId="18A1E231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1.26E-09</w:t>
            </w:r>
          </w:p>
        </w:tc>
        <w:tc>
          <w:tcPr>
            <w:tcW w:w="3402" w:type="dxa"/>
          </w:tcPr>
          <w:p w14:paraId="156F3FA7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Epithelial adhesion gene; relevant to prostate cancer progression and epithelial phenotype</w:t>
            </w:r>
          </w:p>
        </w:tc>
      </w:tr>
      <w:tr w:rsidR="005E29F6" w:rsidRPr="00D643AD" w14:paraId="209CEA2A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0C68D623" w14:textId="77777777" w:rsidR="005E29F6" w:rsidRPr="00D643AD" w:rsidRDefault="005E29F6" w:rsidP="00533B82">
            <w:r w:rsidRPr="00D643AD">
              <w:t>AR</w:t>
            </w:r>
          </w:p>
        </w:tc>
        <w:tc>
          <w:tcPr>
            <w:tcW w:w="1843" w:type="dxa"/>
          </w:tcPr>
          <w:p w14:paraId="2CEBB55D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6999708C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0.234392</w:t>
            </w:r>
          </w:p>
        </w:tc>
        <w:tc>
          <w:tcPr>
            <w:tcW w:w="1559" w:type="dxa"/>
            <w:noWrap/>
            <w:hideMark/>
          </w:tcPr>
          <w:p w14:paraId="3E7F9ACD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4.03E-07</w:t>
            </w:r>
          </w:p>
        </w:tc>
        <w:tc>
          <w:tcPr>
            <w:tcW w:w="3402" w:type="dxa"/>
          </w:tcPr>
          <w:p w14:paraId="4062928C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Core androgen signalling gene; central to prostate cancer development, progression, and therapy response</w:t>
            </w:r>
          </w:p>
        </w:tc>
      </w:tr>
      <w:tr w:rsidR="005E29F6" w:rsidRPr="00D643AD" w14:paraId="367C0F5C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3ED016EA" w14:textId="77777777" w:rsidR="005E29F6" w:rsidRPr="00D643AD" w:rsidRDefault="005E29F6" w:rsidP="00533B82">
            <w:r w:rsidRPr="0047568D">
              <w:rPr>
                <w:highlight w:val="yellow"/>
              </w:rPr>
              <w:t>SYP</w:t>
            </w:r>
          </w:p>
        </w:tc>
        <w:tc>
          <w:tcPr>
            <w:tcW w:w="1843" w:type="dxa"/>
          </w:tcPr>
          <w:p w14:paraId="500BD7B0" w14:textId="77777777" w:rsidR="005E29F6" w:rsidRPr="00D643AD" w:rsidRDefault="005E29F6" w:rsidP="00533B82">
            <w:r>
              <w:t>Synaptophysin</w:t>
            </w:r>
          </w:p>
        </w:tc>
        <w:tc>
          <w:tcPr>
            <w:tcW w:w="1701" w:type="dxa"/>
            <w:noWrap/>
            <w:hideMark/>
          </w:tcPr>
          <w:p w14:paraId="715E5C1E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0.211446</w:t>
            </w:r>
          </w:p>
        </w:tc>
        <w:tc>
          <w:tcPr>
            <w:tcW w:w="1559" w:type="dxa"/>
            <w:noWrap/>
            <w:hideMark/>
          </w:tcPr>
          <w:p w14:paraId="4C00DB4A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5.13E-06</w:t>
            </w:r>
          </w:p>
        </w:tc>
        <w:tc>
          <w:tcPr>
            <w:tcW w:w="3402" w:type="dxa"/>
          </w:tcPr>
          <w:p w14:paraId="57E99167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 xml:space="preserve">Strong </w:t>
            </w:r>
            <w:r w:rsidRPr="00D643AD">
              <w:rPr>
                <w:rFonts w:ascii="Arial" w:eastAsia="Times New Roman" w:hAnsi="Arial" w:cs="Arial"/>
                <w:color w:val="9CC2E5" w:themeColor="accent5" w:themeTint="99"/>
                <w:kern w:val="0"/>
                <w:lang w:val="en-SE" w:eastAsia="en-SE" w:bidi="ar-SA"/>
                <w14:ligatures w14:val="none"/>
              </w:rPr>
              <w:t xml:space="preserve">neuroendocrine </w:t>
            </w: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marker in prostate cancer.</w:t>
            </w:r>
          </w:p>
        </w:tc>
      </w:tr>
      <w:tr w:rsidR="005E29F6" w:rsidRPr="00D643AD" w14:paraId="3CBB9253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50660853" w14:textId="77777777" w:rsidR="005E29F6" w:rsidRPr="00D643AD" w:rsidRDefault="005E29F6" w:rsidP="00533B82">
            <w:r w:rsidRPr="0047568D">
              <w:rPr>
                <w:highlight w:val="yellow"/>
              </w:rPr>
              <w:t>ACP3</w:t>
            </w:r>
          </w:p>
        </w:tc>
        <w:tc>
          <w:tcPr>
            <w:tcW w:w="1843" w:type="dxa"/>
          </w:tcPr>
          <w:p w14:paraId="755A3210" w14:textId="77777777" w:rsidR="005E29F6" w:rsidRPr="00D643AD" w:rsidRDefault="005E29F6" w:rsidP="00533B82">
            <w:r>
              <w:t>PAP</w:t>
            </w:r>
          </w:p>
        </w:tc>
        <w:tc>
          <w:tcPr>
            <w:tcW w:w="1701" w:type="dxa"/>
            <w:noWrap/>
            <w:hideMark/>
          </w:tcPr>
          <w:p w14:paraId="203F8ED1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0.190661</w:t>
            </w:r>
          </w:p>
        </w:tc>
        <w:tc>
          <w:tcPr>
            <w:tcW w:w="1559" w:type="dxa"/>
            <w:noWrap/>
            <w:hideMark/>
          </w:tcPr>
          <w:p w14:paraId="4156BD45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4.09E-05</w:t>
            </w:r>
          </w:p>
        </w:tc>
        <w:tc>
          <w:tcPr>
            <w:tcW w:w="3402" w:type="dxa"/>
          </w:tcPr>
          <w:p w14:paraId="37A7D5A3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Classic prostate marker; less commonly used now than PSA but still relevant.</w:t>
            </w:r>
          </w:p>
        </w:tc>
      </w:tr>
      <w:tr w:rsidR="005E29F6" w:rsidRPr="00D643AD" w14:paraId="5AE72141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02E95844" w14:textId="77777777" w:rsidR="005E29F6" w:rsidRPr="00D643AD" w:rsidRDefault="005E29F6" w:rsidP="00533B82">
            <w:r w:rsidRPr="00D643AD">
              <w:t>TMPRSS2</w:t>
            </w:r>
          </w:p>
        </w:tc>
        <w:tc>
          <w:tcPr>
            <w:tcW w:w="1843" w:type="dxa"/>
          </w:tcPr>
          <w:p w14:paraId="4CEBE193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10399914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0.172814</w:t>
            </w:r>
          </w:p>
        </w:tc>
        <w:tc>
          <w:tcPr>
            <w:tcW w:w="1559" w:type="dxa"/>
            <w:noWrap/>
            <w:hideMark/>
          </w:tcPr>
          <w:p w14:paraId="0CB24220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0.000205</w:t>
            </w:r>
          </w:p>
        </w:tc>
        <w:tc>
          <w:tcPr>
            <w:tcW w:w="3402" w:type="dxa"/>
          </w:tcPr>
          <w:p w14:paraId="2D9F7F65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Prostate-expressed gene; important in prostate cancer, especially through TMPRSS2-ERG fusion biology</w:t>
            </w:r>
          </w:p>
        </w:tc>
      </w:tr>
      <w:tr w:rsidR="005E29F6" w:rsidRPr="00D643AD" w14:paraId="14CF49F9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6FF3931A" w14:textId="77777777" w:rsidR="005E29F6" w:rsidRPr="0047568D" w:rsidRDefault="005E29F6" w:rsidP="00533B82">
            <w:pPr>
              <w:rPr>
                <w:highlight w:val="yellow"/>
              </w:rPr>
            </w:pPr>
            <w:r w:rsidRPr="0047568D">
              <w:rPr>
                <w:highlight w:val="yellow"/>
              </w:rPr>
              <w:t>RB1</w:t>
            </w:r>
          </w:p>
        </w:tc>
        <w:tc>
          <w:tcPr>
            <w:tcW w:w="1843" w:type="dxa"/>
          </w:tcPr>
          <w:p w14:paraId="6E5F3A23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56464DEB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0.13736</w:t>
            </w:r>
          </w:p>
        </w:tc>
        <w:tc>
          <w:tcPr>
            <w:tcW w:w="1559" w:type="dxa"/>
            <w:noWrap/>
            <w:hideMark/>
          </w:tcPr>
          <w:p w14:paraId="62281E4A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0.003258</w:t>
            </w:r>
          </w:p>
        </w:tc>
        <w:tc>
          <w:tcPr>
            <w:tcW w:w="3402" w:type="dxa"/>
          </w:tcPr>
          <w:p w14:paraId="381EE8A1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 xml:space="preserve">Tumour suppressor linked to aggressive and </w:t>
            </w:r>
            <w:r w:rsidRPr="00D643AD">
              <w:rPr>
                <w:rFonts w:ascii="Arial" w:eastAsia="Times New Roman" w:hAnsi="Arial" w:cs="Arial"/>
                <w:color w:val="9CC2E5" w:themeColor="accent5" w:themeTint="99"/>
                <w:kern w:val="0"/>
                <w:lang w:val="en-SE" w:eastAsia="en-SE" w:bidi="ar-SA"/>
                <w14:ligatures w14:val="none"/>
              </w:rPr>
              <w:t>neuroendocrine</w:t>
            </w: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-like prostate cancer</w:t>
            </w:r>
          </w:p>
        </w:tc>
      </w:tr>
      <w:tr w:rsidR="005E29F6" w:rsidRPr="00D643AD" w14:paraId="0D29A27C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6F5594FE" w14:textId="77777777" w:rsidR="005E29F6" w:rsidRPr="00D643AD" w:rsidRDefault="005E29F6" w:rsidP="00533B82">
            <w:r w:rsidRPr="00D643AD">
              <w:t>NKX3-1</w:t>
            </w:r>
          </w:p>
        </w:tc>
        <w:tc>
          <w:tcPr>
            <w:tcW w:w="1843" w:type="dxa"/>
          </w:tcPr>
          <w:p w14:paraId="4141D5AD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15AF1C00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0.130285</w:t>
            </w:r>
          </w:p>
        </w:tc>
        <w:tc>
          <w:tcPr>
            <w:tcW w:w="1559" w:type="dxa"/>
            <w:noWrap/>
            <w:hideMark/>
          </w:tcPr>
          <w:p w14:paraId="79D1F0C8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0.00528</w:t>
            </w:r>
          </w:p>
        </w:tc>
        <w:tc>
          <w:tcPr>
            <w:tcW w:w="3402" w:type="dxa"/>
          </w:tcPr>
          <w:p w14:paraId="060F1F1F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Prostate lineage transcription factor; commonly used as a prostate marker and associated with prostate differentiation</w:t>
            </w:r>
          </w:p>
        </w:tc>
      </w:tr>
      <w:tr w:rsidR="005E29F6" w:rsidRPr="00D643AD" w14:paraId="0DEC3B8D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114B27B2" w14:textId="77777777" w:rsidR="005E29F6" w:rsidRPr="00D643AD" w:rsidRDefault="005E29F6" w:rsidP="00533B82">
            <w:r w:rsidRPr="00D643AD">
              <w:t>AMACR</w:t>
            </w:r>
          </w:p>
        </w:tc>
        <w:tc>
          <w:tcPr>
            <w:tcW w:w="1843" w:type="dxa"/>
          </w:tcPr>
          <w:p w14:paraId="0B3E976E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7B44208A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0.122251</w:t>
            </w:r>
          </w:p>
        </w:tc>
        <w:tc>
          <w:tcPr>
            <w:tcW w:w="1559" w:type="dxa"/>
            <w:noWrap/>
            <w:hideMark/>
          </w:tcPr>
          <w:p w14:paraId="7FA13634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0.008894</w:t>
            </w:r>
          </w:p>
        </w:tc>
        <w:tc>
          <w:tcPr>
            <w:tcW w:w="3402" w:type="dxa"/>
          </w:tcPr>
          <w:p w14:paraId="66A974A1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Well-established prostate cancer biomarker, often overexpressed in prostate tumours</w:t>
            </w:r>
          </w:p>
        </w:tc>
      </w:tr>
      <w:tr w:rsidR="005E29F6" w:rsidRPr="00D643AD" w14:paraId="13C6FAB1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3AB55BC0" w14:textId="77777777" w:rsidR="005E29F6" w:rsidRPr="00D643AD" w:rsidRDefault="005E29F6" w:rsidP="00533B82">
            <w:r w:rsidRPr="00D643AD">
              <w:t>MKI67</w:t>
            </w:r>
          </w:p>
        </w:tc>
        <w:tc>
          <w:tcPr>
            <w:tcW w:w="1843" w:type="dxa"/>
          </w:tcPr>
          <w:p w14:paraId="5A8DB22F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08F9A253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0.113685</w:t>
            </w:r>
          </w:p>
        </w:tc>
        <w:tc>
          <w:tcPr>
            <w:tcW w:w="1559" w:type="dxa"/>
            <w:noWrap/>
            <w:hideMark/>
          </w:tcPr>
          <w:p w14:paraId="6BD4F72F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0.015034</w:t>
            </w:r>
          </w:p>
        </w:tc>
        <w:tc>
          <w:tcPr>
            <w:tcW w:w="3402" w:type="dxa"/>
          </w:tcPr>
          <w:p w14:paraId="641BA648" w14:textId="77777777" w:rsidR="005E29F6" w:rsidRPr="00084828" w:rsidRDefault="005E29F6" w:rsidP="00533B82">
            <w:pPr>
              <w:rPr>
                <w:color w:val="00B050"/>
                <w:lang w:val="en-GB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General proliferation marker used to assess tumour growth and</w:t>
            </w:r>
            <w:r>
              <w:rPr>
                <w:rFonts w:ascii="Arial" w:eastAsia="Times New Roman" w:hAnsi="Arial" w:cs="Arial"/>
                <w:kern w:val="0"/>
                <w:lang w:val="en-GB" w:eastAsia="en-SE" w:bidi="ar-SA"/>
                <w14:ligatures w14:val="none"/>
              </w:rPr>
              <w:t xml:space="preserve"> aggressiveness</w:t>
            </w:r>
          </w:p>
        </w:tc>
      </w:tr>
      <w:tr w:rsidR="005E29F6" w:rsidRPr="00D643AD" w14:paraId="71C1EC36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538C064E" w14:textId="77777777" w:rsidR="005E29F6" w:rsidRPr="00D643AD" w:rsidRDefault="005E29F6" w:rsidP="00533B82">
            <w:r w:rsidRPr="0047568D">
              <w:rPr>
                <w:highlight w:val="yellow"/>
              </w:rPr>
              <w:t>AURKA</w:t>
            </w:r>
          </w:p>
        </w:tc>
        <w:tc>
          <w:tcPr>
            <w:tcW w:w="1843" w:type="dxa"/>
          </w:tcPr>
          <w:p w14:paraId="3DDACC68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0DE0851B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0.088152</w:t>
            </w:r>
          </w:p>
        </w:tc>
        <w:tc>
          <w:tcPr>
            <w:tcW w:w="1559" w:type="dxa"/>
            <w:noWrap/>
            <w:hideMark/>
          </w:tcPr>
          <w:p w14:paraId="795F0FAF" w14:textId="77777777" w:rsidR="005E29F6" w:rsidRPr="00D643AD" w:rsidRDefault="005E29F6" w:rsidP="00533B82">
            <w:r w:rsidRPr="00D643AD">
              <w:t>0.059704</w:t>
            </w:r>
          </w:p>
        </w:tc>
        <w:tc>
          <w:tcPr>
            <w:tcW w:w="3402" w:type="dxa"/>
          </w:tcPr>
          <w:p w14:paraId="4EE9933A" w14:textId="77777777" w:rsidR="005E29F6" w:rsidRPr="00D643AD" w:rsidRDefault="005E29F6" w:rsidP="00533B82"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 xml:space="preserve">Associated with advanced and castration-resistant </w:t>
            </w: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lastRenderedPageBreak/>
              <w:t>prostate cancer, especially aggressive disease.</w:t>
            </w:r>
          </w:p>
        </w:tc>
      </w:tr>
      <w:tr w:rsidR="005E29F6" w:rsidRPr="00D643AD" w14:paraId="39769B00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378FD325" w14:textId="77777777" w:rsidR="005E29F6" w:rsidRPr="00D643AD" w:rsidRDefault="005E29F6" w:rsidP="00533B82">
            <w:r w:rsidRPr="0047568D">
              <w:rPr>
                <w:highlight w:val="yellow"/>
              </w:rPr>
              <w:lastRenderedPageBreak/>
              <w:t>INSM1</w:t>
            </w:r>
          </w:p>
        </w:tc>
        <w:tc>
          <w:tcPr>
            <w:tcW w:w="1843" w:type="dxa"/>
          </w:tcPr>
          <w:p w14:paraId="23A41247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685DED7B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0.087868</w:t>
            </w:r>
          </w:p>
        </w:tc>
        <w:tc>
          <w:tcPr>
            <w:tcW w:w="1559" w:type="dxa"/>
            <w:noWrap/>
            <w:hideMark/>
          </w:tcPr>
          <w:p w14:paraId="766C70A8" w14:textId="77777777" w:rsidR="005E29F6" w:rsidRPr="00D643AD" w:rsidRDefault="005E29F6" w:rsidP="00533B82">
            <w:r w:rsidRPr="00D643AD">
              <w:t>0.060533</w:t>
            </w:r>
          </w:p>
        </w:tc>
        <w:tc>
          <w:tcPr>
            <w:tcW w:w="3402" w:type="dxa"/>
          </w:tcPr>
          <w:p w14:paraId="392AC93A" w14:textId="77777777" w:rsidR="005E29F6" w:rsidRPr="00D643AD" w:rsidRDefault="005E29F6" w:rsidP="00533B82"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 xml:space="preserve">Marker of </w:t>
            </w:r>
            <w:r w:rsidRPr="00D643AD">
              <w:rPr>
                <w:rFonts w:ascii="Arial" w:eastAsia="Times New Roman" w:hAnsi="Arial" w:cs="Arial"/>
                <w:color w:val="9CC2E5" w:themeColor="accent5" w:themeTint="99"/>
                <w:kern w:val="0"/>
                <w:lang w:val="en-SE" w:eastAsia="en-SE" w:bidi="ar-SA"/>
                <w14:ligatures w14:val="none"/>
              </w:rPr>
              <w:t>neuroendocrine</w:t>
            </w: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 xml:space="preserve"> differentiation, relevant in aggressive/neuroendocrine prostate cancer.</w:t>
            </w:r>
          </w:p>
        </w:tc>
      </w:tr>
      <w:tr w:rsidR="005E29F6" w:rsidRPr="00D643AD" w14:paraId="35607CDC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16251C2E" w14:textId="77777777" w:rsidR="005E29F6" w:rsidRPr="00D643AD" w:rsidRDefault="005E29F6" w:rsidP="00533B82">
            <w:r w:rsidRPr="00D643AD">
              <w:t>ERG</w:t>
            </w:r>
          </w:p>
        </w:tc>
        <w:tc>
          <w:tcPr>
            <w:tcW w:w="1843" w:type="dxa"/>
          </w:tcPr>
          <w:p w14:paraId="28B6C7A3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0715712A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0.052171</w:t>
            </w:r>
          </w:p>
        </w:tc>
        <w:tc>
          <w:tcPr>
            <w:tcW w:w="1559" w:type="dxa"/>
            <w:noWrap/>
            <w:hideMark/>
          </w:tcPr>
          <w:p w14:paraId="5CA30D88" w14:textId="77777777" w:rsidR="005E29F6" w:rsidRPr="00D643AD" w:rsidRDefault="005E29F6" w:rsidP="00533B82">
            <w:r w:rsidRPr="00D643AD">
              <w:t>0.265716</w:t>
            </w:r>
          </w:p>
        </w:tc>
        <w:tc>
          <w:tcPr>
            <w:tcW w:w="3402" w:type="dxa"/>
          </w:tcPr>
          <w:p w14:paraId="764AF9DD" w14:textId="77777777" w:rsidR="005E29F6" w:rsidRPr="00D643AD" w:rsidRDefault="005E29F6" w:rsidP="00533B82"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Important prostate cancer marker, especially in TMPRSS2-ERG fusion-positive tumours.</w:t>
            </w:r>
          </w:p>
        </w:tc>
      </w:tr>
      <w:tr w:rsidR="005E29F6" w:rsidRPr="00D643AD" w14:paraId="1A39FD9B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51A2DB36" w14:textId="77777777" w:rsidR="005E29F6" w:rsidRPr="00D643AD" w:rsidRDefault="005E29F6" w:rsidP="00533B82">
            <w:r w:rsidRPr="0047568D">
              <w:rPr>
                <w:highlight w:val="yellow"/>
              </w:rPr>
              <w:t>BRCA1</w:t>
            </w:r>
          </w:p>
        </w:tc>
        <w:tc>
          <w:tcPr>
            <w:tcW w:w="1843" w:type="dxa"/>
          </w:tcPr>
          <w:p w14:paraId="6FC097E8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4A9091B2" w14:textId="77777777" w:rsidR="005E29F6" w:rsidRPr="00D643AD" w:rsidRDefault="005E29F6" w:rsidP="00533B82">
            <w:pPr>
              <w:rPr>
                <w:color w:val="FF0000"/>
              </w:rPr>
            </w:pPr>
            <w:r w:rsidRPr="00D643AD">
              <w:rPr>
                <w:color w:val="FF0000"/>
              </w:rPr>
              <w:t>0.029467</w:t>
            </w:r>
          </w:p>
        </w:tc>
        <w:tc>
          <w:tcPr>
            <w:tcW w:w="1559" w:type="dxa"/>
            <w:noWrap/>
            <w:hideMark/>
          </w:tcPr>
          <w:p w14:paraId="27324197" w14:textId="77777777" w:rsidR="005E29F6" w:rsidRPr="00D643AD" w:rsidRDefault="005E29F6" w:rsidP="00533B82">
            <w:r w:rsidRPr="00D643AD">
              <w:t>0.529785</w:t>
            </w:r>
          </w:p>
        </w:tc>
        <w:tc>
          <w:tcPr>
            <w:tcW w:w="3402" w:type="dxa"/>
          </w:tcPr>
          <w:p w14:paraId="4E0B1539" w14:textId="77777777" w:rsidR="005E29F6" w:rsidRPr="00D643AD" w:rsidRDefault="005E29F6" w:rsidP="00533B82"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DNA repair gene linked to inherited prostate cancer risk and more aggressive disease in some cases.</w:t>
            </w:r>
          </w:p>
        </w:tc>
      </w:tr>
      <w:tr w:rsidR="005E29F6" w:rsidRPr="00D643AD" w14:paraId="37B37633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3DC2EB3D" w14:textId="77777777" w:rsidR="005E29F6" w:rsidRPr="00D643AD" w:rsidRDefault="005E29F6" w:rsidP="00533B82">
            <w:r w:rsidRPr="00D643AD">
              <w:t>NKX2-1</w:t>
            </w:r>
          </w:p>
        </w:tc>
        <w:tc>
          <w:tcPr>
            <w:tcW w:w="1843" w:type="dxa"/>
          </w:tcPr>
          <w:p w14:paraId="79C76B62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726F81D7" w14:textId="77777777" w:rsidR="005E29F6" w:rsidRPr="00D643AD" w:rsidRDefault="005E29F6" w:rsidP="00533B82">
            <w:pPr>
              <w:rPr>
                <w:color w:val="4472C4" w:themeColor="accent1"/>
              </w:rPr>
            </w:pPr>
            <w:r w:rsidRPr="00D643AD">
              <w:rPr>
                <w:color w:val="4472C4" w:themeColor="accent1"/>
              </w:rPr>
              <w:t>-0.03566</w:t>
            </w:r>
          </w:p>
        </w:tc>
        <w:tc>
          <w:tcPr>
            <w:tcW w:w="1559" w:type="dxa"/>
            <w:noWrap/>
            <w:hideMark/>
          </w:tcPr>
          <w:p w14:paraId="3AD4FD08" w14:textId="77777777" w:rsidR="005E29F6" w:rsidRPr="00D643AD" w:rsidRDefault="005E29F6" w:rsidP="00533B82">
            <w:r w:rsidRPr="00D643AD">
              <w:t>0.446938</w:t>
            </w:r>
          </w:p>
        </w:tc>
        <w:tc>
          <w:tcPr>
            <w:tcW w:w="3402" w:type="dxa"/>
          </w:tcPr>
          <w:p w14:paraId="17FBF35A" w14:textId="77777777" w:rsidR="005E29F6" w:rsidRPr="00D643AD" w:rsidRDefault="005E29F6" w:rsidP="00533B82"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 xml:space="preserve">the gene behind TTF-1 protein marker; relevant mainly to </w:t>
            </w:r>
            <w:r w:rsidRPr="00D643AD">
              <w:rPr>
                <w:rFonts w:ascii="Arial" w:eastAsia="Times New Roman" w:hAnsi="Arial" w:cs="Arial"/>
                <w:color w:val="9CC2E5" w:themeColor="accent5" w:themeTint="99"/>
                <w:kern w:val="0"/>
                <w:lang w:val="en-SE" w:eastAsia="en-SE" w:bidi="ar-SA"/>
                <w14:ligatures w14:val="none"/>
              </w:rPr>
              <w:t xml:space="preserve">neuroendocrine </w:t>
            </w: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differentiation</w:t>
            </w:r>
          </w:p>
        </w:tc>
      </w:tr>
      <w:tr w:rsidR="005E29F6" w:rsidRPr="00D643AD" w14:paraId="26FBA989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7ACA4656" w14:textId="77777777" w:rsidR="005E29F6" w:rsidRPr="00D643AD" w:rsidRDefault="005E29F6" w:rsidP="00533B82">
            <w:r w:rsidRPr="00D643AD">
              <w:t>SCG2</w:t>
            </w:r>
          </w:p>
        </w:tc>
        <w:tc>
          <w:tcPr>
            <w:tcW w:w="1843" w:type="dxa"/>
          </w:tcPr>
          <w:p w14:paraId="3CF939D8" w14:textId="77777777" w:rsidR="005E29F6" w:rsidRPr="00D643AD" w:rsidRDefault="005E29F6" w:rsidP="00533B82">
            <w:r>
              <w:t>Secretogranin II</w:t>
            </w:r>
          </w:p>
        </w:tc>
        <w:tc>
          <w:tcPr>
            <w:tcW w:w="1701" w:type="dxa"/>
            <w:noWrap/>
            <w:hideMark/>
          </w:tcPr>
          <w:p w14:paraId="402CDCD3" w14:textId="77777777" w:rsidR="005E29F6" w:rsidRPr="00D643AD" w:rsidRDefault="005E29F6" w:rsidP="00533B82">
            <w:pPr>
              <w:rPr>
                <w:color w:val="4472C4" w:themeColor="accent1"/>
              </w:rPr>
            </w:pPr>
            <w:r w:rsidRPr="00D643AD">
              <w:rPr>
                <w:color w:val="4472C4" w:themeColor="accent1"/>
              </w:rPr>
              <w:t>-0.04446</w:t>
            </w:r>
          </w:p>
        </w:tc>
        <w:tc>
          <w:tcPr>
            <w:tcW w:w="1559" w:type="dxa"/>
            <w:noWrap/>
            <w:hideMark/>
          </w:tcPr>
          <w:p w14:paraId="14205DD3" w14:textId="77777777" w:rsidR="005E29F6" w:rsidRPr="00D643AD" w:rsidRDefault="005E29F6" w:rsidP="00533B82">
            <w:r w:rsidRPr="00D643AD">
              <w:t>0.342961</w:t>
            </w:r>
          </w:p>
        </w:tc>
        <w:tc>
          <w:tcPr>
            <w:tcW w:w="3402" w:type="dxa"/>
          </w:tcPr>
          <w:p w14:paraId="38BC32F5" w14:textId="77777777" w:rsidR="005E29F6" w:rsidRPr="00D643AD" w:rsidRDefault="005E29F6" w:rsidP="00533B82">
            <w:r w:rsidRPr="00D643AD">
              <w:rPr>
                <w:rFonts w:ascii="Arial" w:eastAsia="Times New Roman" w:hAnsi="Arial" w:cs="Arial"/>
                <w:color w:val="9CC2E5" w:themeColor="accent5" w:themeTint="99"/>
                <w:kern w:val="0"/>
                <w:lang w:val="en-SE" w:eastAsia="en-SE" w:bidi="ar-SA"/>
                <w14:ligatures w14:val="none"/>
              </w:rPr>
              <w:t>Neuroendocrine</w:t>
            </w: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-associated marker relevant to prostate cancer subtype switching.</w:t>
            </w:r>
          </w:p>
        </w:tc>
      </w:tr>
      <w:tr w:rsidR="005E29F6" w:rsidRPr="00D643AD" w14:paraId="24B663A9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1FA3C004" w14:textId="77777777" w:rsidR="005E29F6" w:rsidRPr="00D643AD" w:rsidRDefault="005E29F6" w:rsidP="00533B82">
            <w:r w:rsidRPr="0047568D">
              <w:rPr>
                <w:highlight w:val="yellow"/>
              </w:rPr>
              <w:t>CHGA</w:t>
            </w:r>
          </w:p>
        </w:tc>
        <w:tc>
          <w:tcPr>
            <w:tcW w:w="1843" w:type="dxa"/>
          </w:tcPr>
          <w:p w14:paraId="680A2BB9" w14:textId="77777777" w:rsidR="005E29F6" w:rsidRPr="00D643AD" w:rsidRDefault="005E29F6" w:rsidP="00533B82">
            <w:r>
              <w:t>Chromogranin A</w:t>
            </w:r>
          </w:p>
        </w:tc>
        <w:tc>
          <w:tcPr>
            <w:tcW w:w="1701" w:type="dxa"/>
            <w:noWrap/>
            <w:hideMark/>
          </w:tcPr>
          <w:p w14:paraId="693C42FA" w14:textId="77777777" w:rsidR="005E29F6" w:rsidRPr="00D643AD" w:rsidRDefault="005E29F6" w:rsidP="00533B82">
            <w:pPr>
              <w:rPr>
                <w:color w:val="4472C4" w:themeColor="accent1"/>
              </w:rPr>
            </w:pPr>
            <w:r w:rsidRPr="00D643AD">
              <w:rPr>
                <w:color w:val="4472C4" w:themeColor="accent1"/>
              </w:rPr>
              <w:t>-0.07116</w:t>
            </w:r>
          </w:p>
        </w:tc>
        <w:tc>
          <w:tcPr>
            <w:tcW w:w="1559" w:type="dxa"/>
            <w:noWrap/>
            <w:hideMark/>
          </w:tcPr>
          <w:p w14:paraId="47E26ACE" w14:textId="77777777" w:rsidR="005E29F6" w:rsidRPr="00D643AD" w:rsidRDefault="005E29F6" w:rsidP="00533B82">
            <w:r w:rsidRPr="00D643AD">
              <w:t>0.128788</w:t>
            </w:r>
          </w:p>
        </w:tc>
        <w:tc>
          <w:tcPr>
            <w:tcW w:w="3402" w:type="dxa"/>
          </w:tcPr>
          <w:p w14:paraId="54282F96" w14:textId="77777777" w:rsidR="005E29F6" w:rsidRPr="00D643AD" w:rsidRDefault="005E29F6" w:rsidP="00533B82"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 xml:space="preserve">Marker of </w:t>
            </w:r>
            <w:r w:rsidRPr="00D643AD">
              <w:rPr>
                <w:rFonts w:ascii="Arial" w:eastAsia="Times New Roman" w:hAnsi="Arial" w:cs="Arial"/>
                <w:color w:val="9CC2E5" w:themeColor="accent5" w:themeTint="99"/>
                <w:kern w:val="0"/>
                <w:lang w:val="en-SE" w:eastAsia="en-SE" w:bidi="ar-SA"/>
                <w14:ligatures w14:val="none"/>
              </w:rPr>
              <w:t xml:space="preserve">neuroendocrine </w:t>
            </w: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differentiation in prostate cancer.</w:t>
            </w:r>
          </w:p>
        </w:tc>
      </w:tr>
      <w:tr w:rsidR="005E29F6" w:rsidRPr="00D643AD" w14:paraId="400ED1DE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041A1FE4" w14:textId="77777777" w:rsidR="005E29F6" w:rsidRPr="00D643AD" w:rsidRDefault="005E29F6" w:rsidP="00533B82">
            <w:r w:rsidRPr="00D643AD">
              <w:t>TP53</w:t>
            </w:r>
          </w:p>
        </w:tc>
        <w:tc>
          <w:tcPr>
            <w:tcW w:w="1843" w:type="dxa"/>
          </w:tcPr>
          <w:p w14:paraId="79462AF7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13EB4E54" w14:textId="77777777" w:rsidR="005E29F6" w:rsidRPr="00D643AD" w:rsidRDefault="005E29F6" w:rsidP="00533B82">
            <w:pPr>
              <w:rPr>
                <w:color w:val="4472C4" w:themeColor="accent1"/>
              </w:rPr>
            </w:pPr>
            <w:r w:rsidRPr="00D643AD">
              <w:rPr>
                <w:color w:val="4472C4" w:themeColor="accent1"/>
              </w:rPr>
              <w:t>-0.07543</w:t>
            </w:r>
          </w:p>
        </w:tc>
        <w:tc>
          <w:tcPr>
            <w:tcW w:w="1559" w:type="dxa"/>
            <w:noWrap/>
            <w:hideMark/>
          </w:tcPr>
          <w:p w14:paraId="4528A516" w14:textId="77777777" w:rsidR="005E29F6" w:rsidRPr="00D643AD" w:rsidRDefault="005E29F6" w:rsidP="00533B82">
            <w:r w:rsidRPr="00D643AD">
              <w:t>0.107333</w:t>
            </w:r>
          </w:p>
        </w:tc>
        <w:tc>
          <w:tcPr>
            <w:tcW w:w="3402" w:type="dxa"/>
          </w:tcPr>
          <w:p w14:paraId="43521C27" w14:textId="77777777" w:rsidR="005E29F6" w:rsidRPr="00D643AD" w:rsidRDefault="005E29F6" w:rsidP="00533B82"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Important tumour suppressor commonly altered in advanced prostate cancer</w:t>
            </w:r>
          </w:p>
        </w:tc>
      </w:tr>
      <w:tr w:rsidR="005E29F6" w:rsidRPr="00D643AD" w14:paraId="0FB8A497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1396195A" w14:textId="77777777" w:rsidR="005E29F6" w:rsidRPr="00D643AD" w:rsidRDefault="005E29F6" w:rsidP="00533B82">
            <w:r w:rsidRPr="00D643AD">
              <w:t>MYC</w:t>
            </w:r>
          </w:p>
        </w:tc>
        <w:tc>
          <w:tcPr>
            <w:tcW w:w="1843" w:type="dxa"/>
          </w:tcPr>
          <w:p w14:paraId="00575429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314460CB" w14:textId="77777777" w:rsidR="005E29F6" w:rsidRPr="00D643AD" w:rsidRDefault="005E29F6" w:rsidP="00533B82">
            <w:pPr>
              <w:rPr>
                <w:color w:val="4472C4" w:themeColor="accent1"/>
              </w:rPr>
            </w:pPr>
            <w:r w:rsidRPr="00D643AD">
              <w:rPr>
                <w:color w:val="4472C4" w:themeColor="accent1"/>
              </w:rPr>
              <w:t>-0.07926</w:t>
            </w:r>
          </w:p>
        </w:tc>
        <w:tc>
          <w:tcPr>
            <w:tcW w:w="1559" w:type="dxa"/>
            <w:noWrap/>
            <w:hideMark/>
          </w:tcPr>
          <w:p w14:paraId="2742128E" w14:textId="77777777" w:rsidR="005E29F6" w:rsidRPr="00D643AD" w:rsidRDefault="005E29F6" w:rsidP="00533B82">
            <w:r w:rsidRPr="00D643AD">
              <w:t>0.09056</w:t>
            </w:r>
          </w:p>
        </w:tc>
        <w:tc>
          <w:tcPr>
            <w:tcW w:w="3402" w:type="dxa"/>
          </w:tcPr>
          <w:p w14:paraId="2CCEAC67" w14:textId="77777777" w:rsidR="005E29F6" w:rsidRPr="00D643AD" w:rsidRDefault="005E29F6" w:rsidP="00533B82"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Oncogene often involved in prostate cancer progression.</w:t>
            </w:r>
          </w:p>
        </w:tc>
      </w:tr>
      <w:tr w:rsidR="005E29F6" w:rsidRPr="00D643AD" w14:paraId="4916A87F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398EFF09" w14:textId="77777777" w:rsidR="005E29F6" w:rsidRPr="00D643AD" w:rsidRDefault="005E29F6" w:rsidP="00533B82">
            <w:r w:rsidRPr="0047568D">
              <w:rPr>
                <w:highlight w:val="yellow"/>
              </w:rPr>
              <w:t>CHGB</w:t>
            </w:r>
          </w:p>
        </w:tc>
        <w:tc>
          <w:tcPr>
            <w:tcW w:w="1843" w:type="dxa"/>
          </w:tcPr>
          <w:p w14:paraId="3DDACF5E" w14:textId="77777777" w:rsidR="005E29F6" w:rsidRPr="00D643AD" w:rsidRDefault="005E29F6" w:rsidP="00533B82">
            <w:r>
              <w:t>Chromogranin B</w:t>
            </w:r>
          </w:p>
        </w:tc>
        <w:tc>
          <w:tcPr>
            <w:tcW w:w="1701" w:type="dxa"/>
            <w:noWrap/>
            <w:hideMark/>
          </w:tcPr>
          <w:p w14:paraId="0E520D7D" w14:textId="77777777" w:rsidR="005E29F6" w:rsidRPr="00D643AD" w:rsidRDefault="005E29F6" w:rsidP="00533B82">
            <w:pPr>
              <w:rPr>
                <w:color w:val="4472C4" w:themeColor="accent1"/>
              </w:rPr>
            </w:pPr>
            <w:r w:rsidRPr="00D643AD">
              <w:rPr>
                <w:color w:val="4472C4" w:themeColor="accent1"/>
              </w:rPr>
              <w:t>-0.08287</w:t>
            </w:r>
          </w:p>
        </w:tc>
        <w:tc>
          <w:tcPr>
            <w:tcW w:w="1559" w:type="dxa"/>
            <w:noWrap/>
            <w:hideMark/>
          </w:tcPr>
          <w:p w14:paraId="7CDC1AB2" w14:textId="77777777" w:rsidR="005E29F6" w:rsidRPr="00D643AD" w:rsidRDefault="005E29F6" w:rsidP="00533B82">
            <w:r w:rsidRPr="00D643AD">
              <w:t>0.076768</w:t>
            </w:r>
          </w:p>
        </w:tc>
        <w:tc>
          <w:tcPr>
            <w:tcW w:w="3402" w:type="dxa"/>
          </w:tcPr>
          <w:p w14:paraId="22F917E6" w14:textId="77777777" w:rsidR="005E29F6" w:rsidRPr="00D643AD" w:rsidRDefault="005E29F6" w:rsidP="00533B82"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 xml:space="preserve">Marker of </w:t>
            </w:r>
            <w:r w:rsidRPr="00D643AD">
              <w:rPr>
                <w:rFonts w:ascii="Arial" w:eastAsia="Times New Roman" w:hAnsi="Arial" w:cs="Arial"/>
                <w:color w:val="9CC2E5" w:themeColor="accent5" w:themeTint="99"/>
                <w:kern w:val="0"/>
                <w:lang w:val="en-SE" w:eastAsia="en-SE" w:bidi="ar-SA"/>
                <w14:ligatures w14:val="none"/>
              </w:rPr>
              <w:t xml:space="preserve">neuroendocrine </w:t>
            </w: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differentiation in prostate cancer.</w:t>
            </w:r>
          </w:p>
        </w:tc>
      </w:tr>
      <w:tr w:rsidR="005E29F6" w:rsidRPr="00D643AD" w14:paraId="475DE614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054AF718" w14:textId="77777777" w:rsidR="005E29F6" w:rsidRPr="00D643AD" w:rsidRDefault="005E29F6" w:rsidP="00533B82">
            <w:r w:rsidRPr="00D643AD">
              <w:t>TFRC</w:t>
            </w:r>
          </w:p>
        </w:tc>
        <w:tc>
          <w:tcPr>
            <w:tcW w:w="1843" w:type="dxa"/>
          </w:tcPr>
          <w:p w14:paraId="27F5F6DD" w14:textId="77777777" w:rsidR="005E29F6" w:rsidRPr="00D643AD" w:rsidRDefault="005E29F6" w:rsidP="00533B82">
            <w:r>
              <w:t>CD71</w:t>
            </w:r>
          </w:p>
        </w:tc>
        <w:tc>
          <w:tcPr>
            <w:tcW w:w="1701" w:type="dxa"/>
            <w:noWrap/>
            <w:hideMark/>
          </w:tcPr>
          <w:p w14:paraId="220C3708" w14:textId="77777777" w:rsidR="005E29F6" w:rsidRPr="00D643AD" w:rsidRDefault="005E29F6" w:rsidP="00533B82">
            <w:pPr>
              <w:rPr>
                <w:color w:val="4472C4" w:themeColor="accent1"/>
              </w:rPr>
            </w:pPr>
            <w:r w:rsidRPr="00D643AD">
              <w:rPr>
                <w:color w:val="4472C4" w:themeColor="accent1"/>
              </w:rPr>
              <w:t>-0.08954</w:t>
            </w:r>
          </w:p>
        </w:tc>
        <w:tc>
          <w:tcPr>
            <w:tcW w:w="1559" w:type="dxa"/>
            <w:noWrap/>
            <w:hideMark/>
          </w:tcPr>
          <w:p w14:paraId="49A7F0F8" w14:textId="77777777" w:rsidR="005E29F6" w:rsidRPr="00D643AD" w:rsidRDefault="005E29F6" w:rsidP="00533B82">
            <w:r w:rsidRPr="00D643AD">
              <w:t>0.055775</w:t>
            </w:r>
          </w:p>
        </w:tc>
        <w:tc>
          <w:tcPr>
            <w:tcW w:w="3402" w:type="dxa"/>
          </w:tcPr>
          <w:p w14:paraId="4AD42360" w14:textId="77777777" w:rsidR="005E29F6" w:rsidRPr="00D643AD" w:rsidRDefault="005E29F6" w:rsidP="00533B82"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More of a general cell proliferation/iron uptake marker; can be useful in tumour biology.</w:t>
            </w:r>
          </w:p>
        </w:tc>
      </w:tr>
      <w:tr w:rsidR="005E29F6" w:rsidRPr="00D643AD" w14:paraId="6EA33948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78505CB0" w14:textId="77777777" w:rsidR="005E29F6" w:rsidRPr="00D643AD" w:rsidRDefault="005E29F6" w:rsidP="00533B82">
            <w:r w:rsidRPr="0047568D">
              <w:rPr>
                <w:highlight w:val="yellow"/>
              </w:rPr>
              <w:t>BRCA2</w:t>
            </w:r>
          </w:p>
        </w:tc>
        <w:tc>
          <w:tcPr>
            <w:tcW w:w="1843" w:type="dxa"/>
          </w:tcPr>
          <w:p w14:paraId="3E00BA75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3CFDF159" w14:textId="77777777" w:rsidR="005E29F6" w:rsidRPr="00D643AD" w:rsidRDefault="005E29F6" w:rsidP="00533B82">
            <w:pPr>
              <w:rPr>
                <w:color w:val="4472C4" w:themeColor="accent1"/>
              </w:rPr>
            </w:pPr>
            <w:r w:rsidRPr="00D643AD">
              <w:rPr>
                <w:color w:val="4472C4" w:themeColor="accent1"/>
              </w:rPr>
              <w:t>-0.11091</w:t>
            </w:r>
          </w:p>
        </w:tc>
        <w:tc>
          <w:tcPr>
            <w:tcW w:w="1559" w:type="dxa"/>
            <w:noWrap/>
            <w:hideMark/>
          </w:tcPr>
          <w:p w14:paraId="7520AAD0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0.017698</w:t>
            </w:r>
          </w:p>
        </w:tc>
        <w:tc>
          <w:tcPr>
            <w:tcW w:w="3402" w:type="dxa"/>
          </w:tcPr>
          <w:p w14:paraId="0145D258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Strongly associated with prostate cancer risk and aggressive disease.</w:t>
            </w:r>
          </w:p>
        </w:tc>
      </w:tr>
      <w:tr w:rsidR="005E29F6" w:rsidRPr="00D643AD" w14:paraId="76793F9B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06D96BA8" w14:textId="77777777" w:rsidR="005E29F6" w:rsidRPr="00D643AD" w:rsidRDefault="005E29F6" w:rsidP="00533B82">
            <w:r w:rsidRPr="0047568D">
              <w:rPr>
                <w:highlight w:val="yellow"/>
              </w:rPr>
              <w:t>PTEN</w:t>
            </w:r>
          </w:p>
        </w:tc>
        <w:tc>
          <w:tcPr>
            <w:tcW w:w="1843" w:type="dxa"/>
          </w:tcPr>
          <w:p w14:paraId="5E03CBA5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52A85AF2" w14:textId="77777777" w:rsidR="005E29F6" w:rsidRPr="00D643AD" w:rsidRDefault="005E29F6" w:rsidP="00533B82">
            <w:pPr>
              <w:rPr>
                <w:color w:val="4472C4" w:themeColor="accent1"/>
              </w:rPr>
            </w:pPr>
            <w:r w:rsidRPr="00D643AD">
              <w:rPr>
                <w:color w:val="4472C4" w:themeColor="accent1"/>
              </w:rPr>
              <w:t>-0.14908</w:t>
            </w:r>
          </w:p>
        </w:tc>
        <w:tc>
          <w:tcPr>
            <w:tcW w:w="1559" w:type="dxa"/>
            <w:noWrap/>
            <w:hideMark/>
          </w:tcPr>
          <w:p w14:paraId="1FB5E63C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0.001393</w:t>
            </w:r>
          </w:p>
        </w:tc>
        <w:tc>
          <w:tcPr>
            <w:tcW w:w="3402" w:type="dxa"/>
          </w:tcPr>
          <w:p w14:paraId="204E49FD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Major tumour suppressor frequently altered in prostate cancer and linked to aggressive disease</w:t>
            </w:r>
          </w:p>
        </w:tc>
      </w:tr>
      <w:tr w:rsidR="005E29F6" w:rsidRPr="00D643AD" w14:paraId="6CA39026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248A0F34" w14:textId="77777777" w:rsidR="005E29F6" w:rsidRPr="00D643AD" w:rsidRDefault="005E29F6" w:rsidP="00533B82">
            <w:r w:rsidRPr="00D643AD">
              <w:lastRenderedPageBreak/>
              <w:t>VIM</w:t>
            </w:r>
          </w:p>
        </w:tc>
        <w:tc>
          <w:tcPr>
            <w:tcW w:w="1843" w:type="dxa"/>
          </w:tcPr>
          <w:p w14:paraId="5F75F4F6" w14:textId="77777777" w:rsidR="005E29F6" w:rsidRPr="00D643AD" w:rsidRDefault="005E29F6" w:rsidP="00533B82"/>
        </w:tc>
        <w:tc>
          <w:tcPr>
            <w:tcW w:w="1701" w:type="dxa"/>
            <w:noWrap/>
            <w:hideMark/>
          </w:tcPr>
          <w:p w14:paraId="4B436E9D" w14:textId="77777777" w:rsidR="005E29F6" w:rsidRPr="00D643AD" w:rsidRDefault="005E29F6" w:rsidP="00533B82">
            <w:pPr>
              <w:rPr>
                <w:color w:val="4472C4" w:themeColor="accent1"/>
              </w:rPr>
            </w:pPr>
            <w:r w:rsidRPr="00D643AD">
              <w:rPr>
                <w:color w:val="4472C4" w:themeColor="accent1"/>
              </w:rPr>
              <w:t>-0.21179</w:t>
            </w:r>
          </w:p>
        </w:tc>
        <w:tc>
          <w:tcPr>
            <w:tcW w:w="1559" w:type="dxa"/>
            <w:noWrap/>
            <w:hideMark/>
          </w:tcPr>
          <w:p w14:paraId="74F7506D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4.95E-06</w:t>
            </w:r>
          </w:p>
        </w:tc>
        <w:tc>
          <w:tcPr>
            <w:tcW w:w="3402" w:type="dxa"/>
          </w:tcPr>
          <w:p w14:paraId="4ED56C2B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>Mesenchymal marker associated with EMT, invasion, and aggressive prostate cancer behaviour</w:t>
            </w:r>
          </w:p>
        </w:tc>
      </w:tr>
      <w:tr w:rsidR="005E29F6" w:rsidRPr="00D643AD" w14:paraId="60D1E36C" w14:textId="77777777" w:rsidTr="00533B82">
        <w:trPr>
          <w:trHeight w:val="397"/>
        </w:trPr>
        <w:tc>
          <w:tcPr>
            <w:tcW w:w="1413" w:type="dxa"/>
            <w:noWrap/>
            <w:hideMark/>
          </w:tcPr>
          <w:p w14:paraId="59DDFC89" w14:textId="77777777" w:rsidR="005E29F6" w:rsidRPr="00D643AD" w:rsidRDefault="005E29F6" w:rsidP="00533B82">
            <w:r w:rsidRPr="0047568D">
              <w:rPr>
                <w:highlight w:val="yellow"/>
              </w:rPr>
              <w:t>NCAM1</w:t>
            </w:r>
          </w:p>
        </w:tc>
        <w:tc>
          <w:tcPr>
            <w:tcW w:w="1843" w:type="dxa"/>
          </w:tcPr>
          <w:p w14:paraId="342E01FD" w14:textId="77777777" w:rsidR="005E29F6" w:rsidRPr="00D643AD" w:rsidRDefault="005E29F6" w:rsidP="00533B82">
            <w:r>
              <w:t>CD56</w:t>
            </w:r>
          </w:p>
        </w:tc>
        <w:tc>
          <w:tcPr>
            <w:tcW w:w="1701" w:type="dxa"/>
            <w:noWrap/>
            <w:hideMark/>
          </w:tcPr>
          <w:p w14:paraId="640F282A" w14:textId="77777777" w:rsidR="005E29F6" w:rsidRPr="00D643AD" w:rsidRDefault="005E29F6" w:rsidP="00533B82">
            <w:pPr>
              <w:rPr>
                <w:color w:val="4472C4" w:themeColor="accent1"/>
              </w:rPr>
            </w:pPr>
            <w:r w:rsidRPr="00D643AD">
              <w:rPr>
                <w:color w:val="4472C4" w:themeColor="accent1"/>
              </w:rPr>
              <w:t>-0.35825</w:t>
            </w:r>
          </w:p>
        </w:tc>
        <w:tc>
          <w:tcPr>
            <w:tcW w:w="1559" w:type="dxa"/>
            <w:noWrap/>
            <w:hideMark/>
          </w:tcPr>
          <w:p w14:paraId="3484CA9F" w14:textId="77777777" w:rsidR="005E29F6" w:rsidRPr="00A07E22" w:rsidRDefault="005E29F6" w:rsidP="00533B82">
            <w:pPr>
              <w:rPr>
                <w:color w:val="00B050"/>
              </w:rPr>
            </w:pPr>
            <w:r w:rsidRPr="00A07E22">
              <w:rPr>
                <w:color w:val="00B050"/>
              </w:rPr>
              <w:t>2.76E-15</w:t>
            </w:r>
          </w:p>
        </w:tc>
        <w:tc>
          <w:tcPr>
            <w:tcW w:w="3402" w:type="dxa"/>
          </w:tcPr>
          <w:p w14:paraId="655DF6CC" w14:textId="77777777" w:rsidR="005E29F6" w:rsidRPr="00A07E22" w:rsidRDefault="005E29F6" w:rsidP="00533B82">
            <w:pPr>
              <w:rPr>
                <w:color w:val="00B050"/>
              </w:rPr>
            </w:pPr>
            <w:r w:rsidRPr="00D643AD">
              <w:rPr>
                <w:rFonts w:ascii="Arial" w:eastAsia="Times New Roman" w:hAnsi="Arial" w:cs="Arial"/>
                <w:color w:val="9CC2E5" w:themeColor="accent5" w:themeTint="99"/>
                <w:kern w:val="0"/>
                <w:lang w:val="en-SE" w:eastAsia="en-SE" w:bidi="ar-SA"/>
                <w14:ligatures w14:val="none"/>
              </w:rPr>
              <w:t>Neuroendocrine</w:t>
            </w:r>
            <w:r w:rsidRPr="00D643AD">
              <w:rPr>
                <w:rFonts w:ascii="Arial" w:eastAsia="Times New Roman" w:hAnsi="Arial" w:cs="Arial"/>
                <w:kern w:val="0"/>
                <w:lang w:val="en-SE" w:eastAsia="en-SE" w:bidi="ar-SA"/>
                <w14:ligatures w14:val="none"/>
              </w:rPr>
              <w:t xml:space="preserve"> marker, often used in aggressive prostate cancer contexts.</w:t>
            </w:r>
          </w:p>
        </w:tc>
      </w:tr>
    </w:tbl>
    <w:p w14:paraId="6F0E94FA" w14:textId="77777777" w:rsidR="005E29F6" w:rsidRDefault="005E29F6" w:rsidP="005E29F6">
      <w:pPr>
        <w:rPr>
          <w:lang w:val="en-GB"/>
        </w:rPr>
      </w:pPr>
    </w:p>
    <w:p w14:paraId="1D76267F" w14:textId="77777777" w:rsidR="005E29F6" w:rsidRDefault="005E29F6" w:rsidP="005E29F6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2DEAAB84" wp14:editId="1EC2C2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6788785"/>
            <wp:effectExtent l="0" t="0" r="381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78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F8A5C" w14:textId="77777777" w:rsidR="005E29F6" w:rsidRDefault="005E29F6" w:rsidP="005E29F6">
      <w:pPr>
        <w:rPr>
          <w:lang w:val="en-GB"/>
        </w:rPr>
      </w:pPr>
    </w:p>
    <w:p w14:paraId="615BDC69" w14:textId="77777777" w:rsidR="005E29F6" w:rsidRDefault="005E29F6" w:rsidP="005E29F6">
      <w:pPr>
        <w:rPr>
          <w:b/>
          <w:bCs/>
        </w:rPr>
      </w:pPr>
      <w:r>
        <w:rPr>
          <w:b/>
          <w:bCs/>
        </w:rPr>
        <w:t xml:space="preserve">DFS Survival analysis for biomarkers </w:t>
      </w:r>
    </w:p>
    <w:p w14:paraId="1C23A50D" w14:textId="77777777" w:rsidR="005E29F6" w:rsidRDefault="005E29F6" w:rsidP="005E29F6">
      <w:pPr>
        <w:jc w:val="both"/>
      </w:pPr>
      <w:r>
        <w:t xml:space="preserve">Out of all the above listed biomarkers, </w:t>
      </w:r>
      <w:r w:rsidRPr="002C1CA4">
        <w:rPr>
          <w:highlight w:val="yellow"/>
        </w:rPr>
        <w:t>PAP (ACP3)</w:t>
      </w:r>
      <w:r>
        <w:t xml:space="preserve">, </w:t>
      </w:r>
      <w:r w:rsidRPr="002C1CA4">
        <w:rPr>
          <w:highlight w:val="yellow"/>
        </w:rPr>
        <w:t>AURKA</w:t>
      </w:r>
      <w:r>
        <w:t>, CDH1, KLK3, MKI67</w:t>
      </w:r>
      <w:r w:rsidRPr="002C1CA4">
        <w:rPr>
          <w:highlight w:val="yellow"/>
        </w:rPr>
        <w:t>, NCAM1</w:t>
      </w:r>
      <w:r>
        <w:t xml:space="preserve"> all showed statistically significant distinct separation between their high and low expression sample groups in the survival analysis, while NKX-3 and </w:t>
      </w:r>
      <w:r w:rsidRPr="002C1CA4">
        <w:rPr>
          <w:highlight w:val="yellow"/>
        </w:rPr>
        <w:t>PTEN</w:t>
      </w:r>
      <w:r>
        <w:t xml:space="preserve"> also showed close to significant separation. </w:t>
      </w:r>
    </w:p>
    <w:p w14:paraId="1E7FB5B2" w14:textId="77777777" w:rsidR="005E29F6" w:rsidRPr="006425D1" w:rsidRDefault="005E29F6" w:rsidP="005E29F6">
      <w:p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09EBB17" wp14:editId="547C3D4B">
            <wp:simplePos x="0" y="0"/>
            <wp:positionH relativeFrom="margin">
              <wp:posOffset>3135836</wp:posOffset>
            </wp:positionH>
            <wp:positionV relativeFrom="paragraph">
              <wp:posOffset>393597</wp:posOffset>
            </wp:positionV>
            <wp:extent cx="3030220" cy="3030220"/>
            <wp:effectExtent l="0" t="0" r="0" b="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D483B37" wp14:editId="17148613">
            <wp:simplePos x="0" y="0"/>
            <wp:positionH relativeFrom="margin">
              <wp:posOffset>-64135</wp:posOffset>
            </wp:positionH>
            <wp:positionV relativeFrom="paragraph">
              <wp:posOffset>383274</wp:posOffset>
            </wp:positionV>
            <wp:extent cx="3019425" cy="3019425"/>
            <wp:effectExtent l="0" t="0" r="9525" b="952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9683942" wp14:editId="7E694ED9">
            <wp:simplePos x="0" y="0"/>
            <wp:positionH relativeFrom="margin">
              <wp:posOffset>3189354</wp:posOffset>
            </wp:positionH>
            <wp:positionV relativeFrom="paragraph">
              <wp:posOffset>3923650</wp:posOffset>
            </wp:positionV>
            <wp:extent cx="2976880" cy="2976880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902CBAD" wp14:editId="6B4C749A">
            <wp:simplePos x="0" y="0"/>
            <wp:positionH relativeFrom="margin">
              <wp:align>left</wp:align>
            </wp:positionH>
            <wp:positionV relativeFrom="paragraph">
              <wp:posOffset>3892078</wp:posOffset>
            </wp:positionV>
            <wp:extent cx="2955290" cy="295529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9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25D1">
        <w:br w:type="page"/>
      </w:r>
    </w:p>
    <w:p w14:paraId="75F61CBB" w14:textId="562FBD8B" w:rsidR="00660061" w:rsidRDefault="00660061">
      <w:pPr>
        <w:spacing w:line="259" w:lineRule="auto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CCC6C91" wp14:editId="6316B991">
            <wp:simplePos x="0" y="0"/>
            <wp:positionH relativeFrom="margin">
              <wp:posOffset>3202305</wp:posOffset>
            </wp:positionH>
            <wp:positionV relativeFrom="paragraph">
              <wp:posOffset>6985</wp:posOffset>
            </wp:positionV>
            <wp:extent cx="2795905" cy="2795905"/>
            <wp:effectExtent l="0" t="0" r="4445" b="4445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0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9EFCF90" wp14:editId="2DD2875D">
            <wp:simplePos x="0" y="0"/>
            <wp:positionH relativeFrom="margin">
              <wp:posOffset>-247650</wp:posOffset>
            </wp:positionH>
            <wp:positionV relativeFrom="paragraph">
              <wp:posOffset>0</wp:posOffset>
            </wp:positionV>
            <wp:extent cx="2764155" cy="2764155"/>
            <wp:effectExtent l="0" t="0" r="0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143D8" w14:textId="08045A7D" w:rsidR="00660061" w:rsidRDefault="00660061">
      <w:pPr>
        <w:spacing w:line="259" w:lineRule="auto"/>
        <w:rPr>
          <w:b/>
          <w:bCs/>
        </w:rPr>
      </w:pPr>
    </w:p>
    <w:p w14:paraId="2A10168C" w14:textId="6FDC1876" w:rsidR="00660061" w:rsidRDefault="00660061">
      <w:pPr>
        <w:spacing w:line="259" w:lineRule="auto"/>
        <w:rPr>
          <w:b/>
          <w:bCs/>
        </w:rPr>
      </w:pPr>
    </w:p>
    <w:p w14:paraId="4B2DE131" w14:textId="3A24FC0D" w:rsidR="00660061" w:rsidRDefault="00660061">
      <w:pPr>
        <w:spacing w:line="259" w:lineRule="auto"/>
        <w:rPr>
          <w:b/>
          <w:bCs/>
        </w:rPr>
      </w:pPr>
    </w:p>
    <w:p w14:paraId="37E6641A" w14:textId="782BB5C1" w:rsidR="00660061" w:rsidRDefault="00660061">
      <w:pPr>
        <w:spacing w:line="259" w:lineRule="auto"/>
        <w:rPr>
          <w:b/>
          <w:bCs/>
        </w:rPr>
      </w:pPr>
    </w:p>
    <w:p w14:paraId="02DE191A" w14:textId="6B7EC4E5" w:rsidR="00660061" w:rsidRDefault="00660061">
      <w:pPr>
        <w:spacing w:line="259" w:lineRule="auto"/>
        <w:rPr>
          <w:b/>
          <w:bCs/>
        </w:rPr>
      </w:pPr>
    </w:p>
    <w:p w14:paraId="47C61B16" w14:textId="0A7B1E8A" w:rsidR="00660061" w:rsidRDefault="00660061">
      <w:pPr>
        <w:spacing w:line="259" w:lineRule="auto"/>
        <w:rPr>
          <w:b/>
          <w:bCs/>
        </w:rPr>
      </w:pPr>
    </w:p>
    <w:p w14:paraId="1A04BE65" w14:textId="4308E3CF" w:rsidR="00660061" w:rsidRDefault="00660061">
      <w:pPr>
        <w:spacing w:line="259" w:lineRule="auto"/>
        <w:rPr>
          <w:b/>
          <w:bCs/>
        </w:rPr>
      </w:pPr>
    </w:p>
    <w:p w14:paraId="4718621A" w14:textId="40922A7F" w:rsidR="00660061" w:rsidRDefault="00660061">
      <w:pPr>
        <w:spacing w:line="259" w:lineRule="auto"/>
        <w:rPr>
          <w:b/>
          <w:bCs/>
        </w:rPr>
      </w:pPr>
    </w:p>
    <w:p w14:paraId="5D34151F" w14:textId="321B2A71" w:rsidR="00660061" w:rsidRDefault="00660061">
      <w:pPr>
        <w:spacing w:line="259" w:lineRule="auto"/>
        <w:rPr>
          <w:b/>
          <w:bCs/>
        </w:rPr>
      </w:pPr>
    </w:p>
    <w:p w14:paraId="57380545" w14:textId="5E2EB185" w:rsidR="00660061" w:rsidRDefault="00660061">
      <w:pPr>
        <w:spacing w:line="259" w:lineRule="auto"/>
        <w:rPr>
          <w:b/>
          <w:bCs/>
        </w:rPr>
      </w:pPr>
    </w:p>
    <w:p w14:paraId="765A6816" w14:textId="1005C491" w:rsidR="00660061" w:rsidRDefault="00660061">
      <w:pPr>
        <w:spacing w:line="259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6F222018" wp14:editId="46AEAAF2">
            <wp:simplePos x="0" y="0"/>
            <wp:positionH relativeFrom="margin">
              <wp:posOffset>3192145</wp:posOffset>
            </wp:positionH>
            <wp:positionV relativeFrom="paragraph">
              <wp:posOffset>276225</wp:posOffset>
            </wp:positionV>
            <wp:extent cx="2891790" cy="2891790"/>
            <wp:effectExtent l="0" t="0" r="3810" b="3810"/>
            <wp:wrapSquare wrapText="bothSides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7D63E" w14:textId="4070F3B4" w:rsidR="00660061" w:rsidRDefault="00660061">
      <w:pPr>
        <w:spacing w:line="259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373BA9A0" wp14:editId="2FEB89EA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891790" cy="2891790"/>
            <wp:effectExtent l="0" t="0" r="3810" b="3810"/>
            <wp:wrapSquare wrapText="bothSides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CB76D1" w14:textId="0B45CE3E" w:rsidR="00660061" w:rsidRDefault="00660061">
      <w:pPr>
        <w:spacing w:line="259" w:lineRule="auto"/>
        <w:rPr>
          <w:b/>
          <w:bCs/>
        </w:rPr>
      </w:pPr>
    </w:p>
    <w:p w14:paraId="5A27827F" w14:textId="465F494F" w:rsidR="00660061" w:rsidRDefault="00660061">
      <w:pPr>
        <w:spacing w:line="259" w:lineRule="auto"/>
        <w:rPr>
          <w:b/>
          <w:bCs/>
        </w:rPr>
      </w:pPr>
    </w:p>
    <w:p w14:paraId="23ECAED4" w14:textId="5D23C41E" w:rsidR="00660061" w:rsidRDefault="00660061">
      <w:pPr>
        <w:spacing w:line="259" w:lineRule="auto"/>
        <w:rPr>
          <w:b/>
          <w:bCs/>
        </w:rPr>
      </w:pPr>
    </w:p>
    <w:p w14:paraId="5BEE1511" w14:textId="0596F576" w:rsidR="00660061" w:rsidRDefault="00660061">
      <w:pPr>
        <w:spacing w:line="259" w:lineRule="auto"/>
        <w:rPr>
          <w:b/>
          <w:bCs/>
        </w:rPr>
      </w:pPr>
    </w:p>
    <w:p w14:paraId="59FEF62E" w14:textId="168122D3" w:rsidR="00660061" w:rsidRDefault="00660061">
      <w:pPr>
        <w:spacing w:line="259" w:lineRule="auto"/>
        <w:rPr>
          <w:b/>
          <w:bCs/>
        </w:rPr>
      </w:pPr>
    </w:p>
    <w:p w14:paraId="50ECE0C3" w14:textId="64741503" w:rsidR="00660061" w:rsidRDefault="00660061">
      <w:pPr>
        <w:spacing w:line="259" w:lineRule="auto"/>
        <w:rPr>
          <w:b/>
          <w:bCs/>
        </w:rPr>
      </w:pPr>
    </w:p>
    <w:p w14:paraId="433AF199" w14:textId="0B70D136" w:rsidR="00660061" w:rsidRDefault="00660061">
      <w:pPr>
        <w:spacing w:line="259" w:lineRule="auto"/>
        <w:rPr>
          <w:b/>
          <w:bCs/>
        </w:rPr>
      </w:pPr>
    </w:p>
    <w:p w14:paraId="2742CB66" w14:textId="079CDB9C" w:rsidR="00660061" w:rsidRPr="00F60579" w:rsidRDefault="00660061" w:rsidP="00660061">
      <w:pPr>
        <w:pStyle w:val="Heading2"/>
        <w:rPr>
          <w:lang w:val="en-GB"/>
        </w:rPr>
      </w:pPr>
      <w:r w:rsidRPr="00F60579">
        <w:rPr>
          <w:lang w:val="en-GB"/>
        </w:rPr>
        <w:lastRenderedPageBreak/>
        <w:t>Comparison of FOLH1 with Known Prostate Cancer Biomarkers</w:t>
      </w:r>
      <w:r>
        <w:rPr>
          <w:lang w:val="en-GB"/>
        </w:rPr>
        <w:t xml:space="preserve"> (</w:t>
      </w:r>
      <w:r>
        <w:rPr>
          <w:lang w:val="en-GB"/>
        </w:rPr>
        <w:t>metastatic samples</w:t>
      </w:r>
      <w:r>
        <w:rPr>
          <w:lang w:val="en-GB"/>
        </w:rPr>
        <w:t>)</w:t>
      </w:r>
    </w:p>
    <w:p w14:paraId="6441D4BD" w14:textId="6117C09F" w:rsidR="00660061" w:rsidRPr="006943A6" w:rsidRDefault="006943A6">
      <w:pPr>
        <w:spacing w:line="259" w:lineRule="auto"/>
        <w:rPr>
          <w:lang w:val="en-GB"/>
        </w:rPr>
      </w:pPr>
      <w:r>
        <w:rPr>
          <w:b/>
          <w:bCs/>
          <w:noProof/>
          <w14:ligatures w14:val="none"/>
        </w:rPr>
        <w:drawing>
          <wp:anchor distT="0" distB="0" distL="114300" distR="114300" simplePos="0" relativeHeight="251669504" behindDoc="0" locked="0" layoutInCell="1" allowOverlap="1" wp14:anchorId="1774C76C" wp14:editId="25224B16">
            <wp:simplePos x="0" y="0"/>
            <wp:positionH relativeFrom="margin">
              <wp:posOffset>-95250</wp:posOffset>
            </wp:positionH>
            <wp:positionV relativeFrom="paragraph">
              <wp:posOffset>869315</wp:posOffset>
            </wp:positionV>
            <wp:extent cx="6280785" cy="4886325"/>
            <wp:effectExtent l="0" t="0" r="571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43A6">
        <w:rPr>
          <w:lang w:val="en-GB"/>
        </w:rPr>
        <w:t>The same biomarkers were compared with FOLH1 from the MSKCC2010 cohort in metastatic samples.</w:t>
      </w:r>
      <w:r>
        <w:rPr>
          <w:lang w:val="en-GB"/>
        </w:rPr>
        <w:t xml:space="preserve"> Out of a total of 236 samples, 37 were metastatic samples of which only 19 showed gene expressions. The analysis was done based on these 19 samples.</w:t>
      </w:r>
    </w:p>
    <w:p w14:paraId="16096B0F" w14:textId="3BF7F2B9" w:rsidR="00660061" w:rsidRDefault="00660061">
      <w:pPr>
        <w:spacing w:line="259" w:lineRule="auto"/>
        <w:rPr>
          <w:b/>
          <w:bCs/>
        </w:rPr>
      </w:pPr>
    </w:p>
    <w:tbl>
      <w:tblPr>
        <w:tblStyle w:val="TableGrid"/>
        <w:tblW w:w="7366" w:type="dxa"/>
        <w:tblLook w:val="04A0" w:firstRow="1" w:lastRow="0" w:firstColumn="1" w:lastColumn="0" w:noHBand="0" w:noVBand="1"/>
      </w:tblPr>
      <w:tblGrid>
        <w:gridCol w:w="1413"/>
        <w:gridCol w:w="2268"/>
        <w:gridCol w:w="1843"/>
        <w:gridCol w:w="1842"/>
      </w:tblGrid>
      <w:tr w:rsidR="006943A6" w:rsidRPr="00D643AD" w14:paraId="66B021A4" w14:textId="77777777" w:rsidTr="006943A6">
        <w:trPr>
          <w:trHeight w:val="397"/>
        </w:trPr>
        <w:tc>
          <w:tcPr>
            <w:tcW w:w="1413" w:type="dxa"/>
            <w:noWrap/>
            <w:hideMark/>
          </w:tcPr>
          <w:p w14:paraId="79F12397" w14:textId="77777777" w:rsidR="006943A6" w:rsidRPr="00D643AD" w:rsidRDefault="006943A6" w:rsidP="00533B82">
            <w:pPr>
              <w:rPr>
                <w:b/>
                <w:bCs/>
              </w:rPr>
            </w:pPr>
            <w:r w:rsidRPr="00D643AD">
              <w:rPr>
                <w:b/>
                <w:bCs/>
              </w:rPr>
              <w:t>Gene</w:t>
            </w:r>
          </w:p>
        </w:tc>
        <w:tc>
          <w:tcPr>
            <w:tcW w:w="2268" w:type="dxa"/>
          </w:tcPr>
          <w:p w14:paraId="4E3E8233" w14:textId="5BB32D25" w:rsidR="006943A6" w:rsidRDefault="006943A6" w:rsidP="00533B82">
            <w:pPr>
              <w:rPr>
                <w:b/>
                <w:bCs/>
              </w:rPr>
            </w:pPr>
            <w:r>
              <w:rPr>
                <w:b/>
                <w:bCs/>
              </w:rPr>
              <w:t>Protein marker</w:t>
            </w:r>
          </w:p>
        </w:tc>
        <w:tc>
          <w:tcPr>
            <w:tcW w:w="1843" w:type="dxa"/>
          </w:tcPr>
          <w:p w14:paraId="32EF5C2E" w14:textId="0A5A88CB" w:rsidR="006943A6" w:rsidRPr="00D643AD" w:rsidRDefault="006943A6" w:rsidP="00533B82">
            <w:pPr>
              <w:rPr>
                <w:b/>
                <w:bCs/>
              </w:rPr>
            </w:pPr>
            <w:r>
              <w:rPr>
                <w:b/>
                <w:bCs/>
              </w:rPr>
              <w:t>Rho</w:t>
            </w:r>
          </w:p>
        </w:tc>
        <w:tc>
          <w:tcPr>
            <w:tcW w:w="1842" w:type="dxa"/>
            <w:noWrap/>
            <w:hideMark/>
          </w:tcPr>
          <w:p w14:paraId="23B02229" w14:textId="3292D074" w:rsidR="006943A6" w:rsidRPr="00D643AD" w:rsidRDefault="006943A6" w:rsidP="00533B82">
            <w:pPr>
              <w:rPr>
                <w:b/>
                <w:bCs/>
              </w:rPr>
            </w:pPr>
            <w:r>
              <w:rPr>
                <w:b/>
                <w:bCs/>
              </w:rPr>
              <w:t>P value</w:t>
            </w:r>
          </w:p>
        </w:tc>
      </w:tr>
      <w:tr w:rsidR="006943A6" w:rsidRPr="00D643AD" w14:paraId="024029CD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2089A4FC" w14:textId="6AE2699B" w:rsidR="006943A6" w:rsidRPr="00D643AD" w:rsidRDefault="006943A6" w:rsidP="006943A6">
            <w:r>
              <w:t>ACP3</w:t>
            </w:r>
          </w:p>
        </w:tc>
        <w:tc>
          <w:tcPr>
            <w:tcW w:w="2268" w:type="dxa"/>
          </w:tcPr>
          <w:p w14:paraId="49504583" w14:textId="6A495034" w:rsidR="006943A6" w:rsidRPr="00E67BBA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PAP</w:t>
            </w:r>
          </w:p>
        </w:tc>
        <w:tc>
          <w:tcPr>
            <w:tcW w:w="1843" w:type="dxa"/>
            <w:vAlign w:val="bottom"/>
          </w:tcPr>
          <w:p w14:paraId="5B8B0D32" w14:textId="7A0C6A20" w:rsidR="006943A6" w:rsidRPr="00244C8C" w:rsidRDefault="006943A6" w:rsidP="006943A6">
            <w:pPr>
              <w:rPr>
                <w:color w:val="C00000"/>
              </w:rPr>
            </w:pPr>
            <w:r w:rsidRPr="00244C8C">
              <w:rPr>
                <w:rFonts w:ascii="Calibri" w:hAnsi="Calibri" w:cs="Calibri"/>
                <w:color w:val="C00000"/>
                <w:sz w:val="22"/>
                <w:szCs w:val="22"/>
              </w:rPr>
              <w:t>0.664912</w:t>
            </w:r>
          </w:p>
        </w:tc>
        <w:tc>
          <w:tcPr>
            <w:tcW w:w="1842" w:type="dxa"/>
            <w:noWrap/>
            <w:vAlign w:val="bottom"/>
            <w:hideMark/>
          </w:tcPr>
          <w:p w14:paraId="0086131B" w14:textId="70695140" w:rsidR="006943A6" w:rsidRPr="00244C8C" w:rsidRDefault="006943A6" w:rsidP="006943A6">
            <w:pPr>
              <w:rPr>
                <w:color w:val="00B050"/>
              </w:rPr>
            </w:pPr>
            <w:r w:rsidRPr="00244C8C">
              <w:rPr>
                <w:rFonts w:ascii="Calibri" w:hAnsi="Calibri" w:cs="Calibri"/>
                <w:color w:val="00B050"/>
                <w:sz w:val="22"/>
                <w:szCs w:val="22"/>
              </w:rPr>
              <w:t>0.002464</w:t>
            </w:r>
          </w:p>
        </w:tc>
      </w:tr>
      <w:tr w:rsidR="006943A6" w:rsidRPr="00D643AD" w14:paraId="13776F18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72906207" w14:textId="3BAB70F6" w:rsidR="006943A6" w:rsidRPr="00D643AD" w:rsidRDefault="006943A6" w:rsidP="006943A6">
            <w:r>
              <w:rPr>
                <w:rFonts w:ascii="Calibri" w:hAnsi="Calibri" w:cs="Calibri"/>
                <w:color w:val="000000"/>
                <w:sz w:val="22"/>
                <w:szCs w:val="22"/>
              </w:rPr>
              <w:t>AMACR</w:t>
            </w:r>
          </w:p>
        </w:tc>
        <w:tc>
          <w:tcPr>
            <w:tcW w:w="2268" w:type="dxa"/>
          </w:tcPr>
          <w:p w14:paraId="13FB4277" w14:textId="77777777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280DAE78" w14:textId="27877E0B" w:rsidR="006943A6" w:rsidRPr="00244C8C" w:rsidRDefault="006943A6" w:rsidP="006943A6">
            <w:pPr>
              <w:rPr>
                <w:color w:val="C00000"/>
              </w:rPr>
            </w:pPr>
            <w:r w:rsidRPr="00244C8C">
              <w:rPr>
                <w:rFonts w:ascii="Calibri" w:hAnsi="Calibri" w:cs="Calibri"/>
                <w:color w:val="C00000"/>
                <w:sz w:val="22"/>
                <w:szCs w:val="22"/>
              </w:rPr>
              <w:t>0.621053</w:t>
            </w:r>
          </w:p>
        </w:tc>
        <w:tc>
          <w:tcPr>
            <w:tcW w:w="1842" w:type="dxa"/>
            <w:noWrap/>
            <w:vAlign w:val="bottom"/>
            <w:hideMark/>
          </w:tcPr>
          <w:p w14:paraId="2FEAE8D1" w14:textId="259F8DD6" w:rsidR="006943A6" w:rsidRPr="00244C8C" w:rsidRDefault="006943A6" w:rsidP="006943A6">
            <w:pPr>
              <w:rPr>
                <w:color w:val="00B050"/>
              </w:rPr>
            </w:pPr>
            <w:r w:rsidRPr="00244C8C">
              <w:rPr>
                <w:rFonts w:ascii="Calibri" w:hAnsi="Calibri" w:cs="Calibri"/>
                <w:color w:val="00B050"/>
                <w:sz w:val="22"/>
                <w:szCs w:val="22"/>
              </w:rPr>
              <w:t>0.00547</w:t>
            </w:r>
          </w:p>
        </w:tc>
      </w:tr>
      <w:tr w:rsidR="006943A6" w:rsidRPr="00D643AD" w14:paraId="3406CE3D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67EDA0D7" w14:textId="2C174C6D" w:rsidR="006943A6" w:rsidRPr="00D643AD" w:rsidRDefault="006943A6" w:rsidP="006943A6">
            <w:r>
              <w:rPr>
                <w:rFonts w:ascii="Calibri" w:hAnsi="Calibri" w:cs="Calibri"/>
                <w:color w:val="000000"/>
                <w:sz w:val="22"/>
                <w:szCs w:val="22"/>
              </w:rPr>
              <w:t>KLK3</w:t>
            </w:r>
          </w:p>
        </w:tc>
        <w:tc>
          <w:tcPr>
            <w:tcW w:w="2268" w:type="dxa"/>
          </w:tcPr>
          <w:p w14:paraId="6EF6C2D1" w14:textId="77777777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22404FFE" w14:textId="29319A3C" w:rsidR="006943A6" w:rsidRPr="00244C8C" w:rsidRDefault="006943A6" w:rsidP="006943A6">
            <w:pPr>
              <w:rPr>
                <w:color w:val="C00000"/>
              </w:rPr>
            </w:pPr>
            <w:r w:rsidRPr="00244C8C">
              <w:rPr>
                <w:rFonts w:ascii="Calibri" w:hAnsi="Calibri" w:cs="Calibri"/>
                <w:color w:val="C00000"/>
                <w:sz w:val="22"/>
                <w:szCs w:val="22"/>
              </w:rPr>
              <w:t>0.612281</w:t>
            </w:r>
          </w:p>
        </w:tc>
        <w:tc>
          <w:tcPr>
            <w:tcW w:w="1842" w:type="dxa"/>
            <w:noWrap/>
            <w:vAlign w:val="bottom"/>
            <w:hideMark/>
          </w:tcPr>
          <w:p w14:paraId="18498EBB" w14:textId="54713CD3" w:rsidR="006943A6" w:rsidRPr="00244C8C" w:rsidRDefault="006943A6" w:rsidP="006943A6">
            <w:pPr>
              <w:rPr>
                <w:color w:val="00B050"/>
              </w:rPr>
            </w:pPr>
            <w:r w:rsidRPr="00244C8C">
              <w:rPr>
                <w:rFonts w:ascii="Calibri" w:hAnsi="Calibri" w:cs="Calibri"/>
                <w:color w:val="00B050"/>
                <w:sz w:val="22"/>
                <w:szCs w:val="22"/>
              </w:rPr>
              <w:t>0.006332</w:t>
            </w:r>
          </w:p>
        </w:tc>
      </w:tr>
      <w:tr w:rsidR="006943A6" w:rsidRPr="00D643AD" w14:paraId="657EE8A1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0422B788" w14:textId="3E1D6984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PTEN</w:t>
            </w:r>
          </w:p>
        </w:tc>
        <w:tc>
          <w:tcPr>
            <w:tcW w:w="2268" w:type="dxa"/>
          </w:tcPr>
          <w:p w14:paraId="150B90E2" w14:textId="77777777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42E786D1" w14:textId="0B9CAFA9" w:rsidR="006943A6" w:rsidRPr="00244C8C" w:rsidRDefault="006943A6" w:rsidP="006943A6">
            <w:pPr>
              <w:rPr>
                <w:color w:val="C00000"/>
              </w:rPr>
            </w:pPr>
            <w:r w:rsidRPr="00244C8C">
              <w:rPr>
                <w:rFonts w:ascii="Calibri" w:hAnsi="Calibri" w:cs="Calibri"/>
                <w:color w:val="C00000"/>
                <w:sz w:val="22"/>
                <w:szCs w:val="22"/>
              </w:rPr>
              <w:t>0.501754</w:t>
            </w:r>
          </w:p>
        </w:tc>
        <w:tc>
          <w:tcPr>
            <w:tcW w:w="1842" w:type="dxa"/>
            <w:noWrap/>
            <w:vAlign w:val="bottom"/>
            <w:hideMark/>
          </w:tcPr>
          <w:p w14:paraId="472BD26C" w14:textId="7712B726" w:rsidR="006943A6" w:rsidRPr="00244C8C" w:rsidRDefault="006943A6" w:rsidP="006943A6">
            <w:pPr>
              <w:rPr>
                <w:color w:val="00B050"/>
              </w:rPr>
            </w:pPr>
            <w:r w:rsidRPr="00244C8C">
              <w:rPr>
                <w:rFonts w:ascii="Calibri" w:hAnsi="Calibri" w:cs="Calibri"/>
                <w:color w:val="00B050"/>
                <w:sz w:val="22"/>
                <w:szCs w:val="22"/>
              </w:rPr>
              <w:t>0.030298</w:t>
            </w:r>
          </w:p>
        </w:tc>
      </w:tr>
      <w:tr w:rsidR="006943A6" w:rsidRPr="00D643AD" w14:paraId="0B3362D1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50AF616C" w14:textId="0BA0DF0D" w:rsidR="006943A6" w:rsidRPr="00D643AD" w:rsidRDefault="006943A6" w:rsidP="006943A6">
            <w:r>
              <w:rPr>
                <w:rFonts w:ascii="Calibri" w:hAnsi="Calibri" w:cs="Calibri"/>
                <w:color w:val="000000"/>
                <w:sz w:val="22"/>
                <w:szCs w:val="22"/>
              </w:rPr>
              <w:t>TMPRSS2</w:t>
            </w:r>
          </w:p>
        </w:tc>
        <w:tc>
          <w:tcPr>
            <w:tcW w:w="2268" w:type="dxa"/>
          </w:tcPr>
          <w:p w14:paraId="63E95D15" w14:textId="77777777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73394C84" w14:textId="77C1E133" w:rsidR="006943A6" w:rsidRPr="00244C8C" w:rsidRDefault="006943A6" w:rsidP="006943A6">
            <w:pPr>
              <w:rPr>
                <w:color w:val="C00000"/>
              </w:rPr>
            </w:pPr>
            <w:r w:rsidRPr="00244C8C">
              <w:rPr>
                <w:rFonts w:ascii="Calibri" w:hAnsi="Calibri" w:cs="Calibri"/>
                <w:color w:val="C00000"/>
                <w:sz w:val="22"/>
                <w:szCs w:val="22"/>
              </w:rPr>
              <w:t>0.44386</w:t>
            </w:r>
          </w:p>
        </w:tc>
        <w:tc>
          <w:tcPr>
            <w:tcW w:w="1842" w:type="dxa"/>
            <w:noWrap/>
            <w:vAlign w:val="bottom"/>
            <w:hideMark/>
          </w:tcPr>
          <w:p w14:paraId="78394D73" w14:textId="2538BC9F" w:rsidR="006943A6" w:rsidRPr="00D643AD" w:rsidRDefault="006943A6" w:rsidP="006943A6">
            <w:pPr>
              <w:rPr>
                <w:color w:val="FF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0.058489</w:t>
            </w:r>
          </w:p>
        </w:tc>
      </w:tr>
      <w:tr w:rsidR="006943A6" w:rsidRPr="00D643AD" w14:paraId="233CA515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4D62AC70" w14:textId="48ECA115" w:rsidR="006943A6" w:rsidRPr="0047568D" w:rsidRDefault="006943A6" w:rsidP="006943A6">
            <w:pPr>
              <w:rPr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ERG</w:t>
            </w:r>
          </w:p>
        </w:tc>
        <w:tc>
          <w:tcPr>
            <w:tcW w:w="2268" w:type="dxa"/>
          </w:tcPr>
          <w:p w14:paraId="71B39258" w14:textId="77777777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5D7E2D96" w14:textId="0AA4DCB4" w:rsidR="006943A6" w:rsidRPr="00244C8C" w:rsidRDefault="006943A6" w:rsidP="006943A6">
            <w:pPr>
              <w:rPr>
                <w:color w:val="C00000"/>
              </w:rPr>
            </w:pPr>
            <w:r w:rsidRPr="00244C8C">
              <w:rPr>
                <w:rFonts w:ascii="Calibri" w:hAnsi="Calibri" w:cs="Calibri"/>
                <w:color w:val="C00000"/>
                <w:sz w:val="22"/>
                <w:szCs w:val="22"/>
              </w:rPr>
              <w:t>0.403509</w:t>
            </w:r>
          </w:p>
        </w:tc>
        <w:tc>
          <w:tcPr>
            <w:tcW w:w="1842" w:type="dxa"/>
            <w:noWrap/>
            <w:vAlign w:val="bottom"/>
            <w:hideMark/>
          </w:tcPr>
          <w:p w14:paraId="4CA7B8B8" w14:textId="178AFAFA" w:rsidR="006943A6" w:rsidRPr="00D643AD" w:rsidRDefault="006943A6" w:rsidP="006943A6">
            <w:pPr>
              <w:rPr>
                <w:color w:val="FF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0.08782</w:t>
            </w:r>
          </w:p>
        </w:tc>
      </w:tr>
      <w:tr w:rsidR="006943A6" w:rsidRPr="00D643AD" w14:paraId="54D0D771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6895E42D" w14:textId="0E150091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MYC</w:t>
            </w:r>
          </w:p>
        </w:tc>
        <w:tc>
          <w:tcPr>
            <w:tcW w:w="2268" w:type="dxa"/>
          </w:tcPr>
          <w:p w14:paraId="1D677CC5" w14:textId="77777777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595F9279" w14:textId="11023993" w:rsidR="006943A6" w:rsidRPr="00244C8C" w:rsidRDefault="006943A6" w:rsidP="006943A6">
            <w:pPr>
              <w:rPr>
                <w:color w:val="C00000"/>
              </w:rPr>
            </w:pPr>
            <w:r w:rsidRPr="00244C8C">
              <w:rPr>
                <w:rFonts w:ascii="Calibri" w:hAnsi="Calibri" w:cs="Calibri"/>
                <w:color w:val="C00000"/>
                <w:sz w:val="22"/>
                <w:szCs w:val="22"/>
              </w:rPr>
              <w:t>0.307018</w:t>
            </w:r>
          </w:p>
        </w:tc>
        <w:tc>
          <w:tcPr>
            <w:tcW w:w="1842" w:type="dxa"/>
            <w:noWrap/>
            <w:vAlign w:val="bottom"/>
            <w:hideMark/>
          </w:tcPr>
          <w:p w14:paraId="42831D06" w14:textId="6703B519" w:rsidR="006943A6" w:rsidRPr="00D643AD" w:rsidRDefault="006943A6" w:rsidP="006943A6">
            <w:pPr>
              <w:rPr>
                <w:color w:val="FF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0.200588</w:t>
            </w:r>
          </w:p>
        </w:tc>
      </w:tr>
      <w:tr w:rsidR="006943A6" w:rsidRPr="00D643AD" w14:paraId="6476E4A9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6AE5EAA2" w14:textId="14A152C0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lastRenderedPageBreak/>
              <w:t>RB1</w:t>
            </w:r>
          </w:p>
        </w:tc>
        <w:tc>
          <w:tcPr>
            <w:tcW w:w="2268" w:type="dxa"/>
          </w:tcPr>
          <w:p w14:paraId="3ED2A6BA" w14:textId="5CC6E744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116727DD" w14:textId="262A462B" w:rsidR="006943A6" w:rsidRPr="00244C8C" w:rsidRDefault="006943A6" w:rsidP="006943A6">
            <w:pPr>
              <w:rPr>
                <w:color w:val="C00000"/>
              </w:rPr>
            </w:pPr>
            <w:r w:rsidRPr="00244C8C">
              <w:rPr>
                <w:rFonts w:ascii="Calibri" w:hAnsi="Calibri" w:cs="Calibri"/>
                <w:color w:val="C00000"/>
                <w:sz w:val="22"/>
                <w:szCs w:val="22"/>
              </w:rPr>
              <w:t>0.307018</w:t>
            </w:r>
          </w:p>
        </w:tc>
        <w:tc>
          <w:tcPr>
            <w:tcW w:w="1842" w:type="dxa"/>
            <w:noWrap/>
            <w:vAlign w:val="bottom"/>
            <w:hideMark/>
          </w:tcPr>
          <w:p w14:paraId="3D71090D" w14:textId="2885BA11" w:rsidR="006943A6" w:rsidRPr="00D643AD" w:rsidRDefault="006943A6" w:rsidP="006943A6">
            <w:pPr>
              <w:rPr>
                <w:color w:val="FF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0.200588</w:t>
            </w:r>
          </w:p>
        </w:tc>
      </w:tr>
      <w:tr w:rsidR="006943A6" w:rsidRPr="00D643AD" w14:paraId="16CD85F0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402F176A" w14:textId="0696CB9C" w:rsidR="006943A6" w:rsidRPr="00D643AD" w:rsidRDefault="006943A6" w:rsidP="006943A6">
            <w:r>
              <w:rPr>
                <w:rFonts w:ascii="Calibri" w:hAnsi="Calibri" w:cs="Calibri"/>
                <w:color w:val="000000"/>
                <w:sz w:val="22"/>
                <w:szCs w:val="22"/>
              </w:rPr>
              <w:t>AR</w:t>
            </w:r>
          </w:p>
        </w:tc>
        <w:tc>
          <w:tcPr>
            <w:tcW w:w="2268" w:type="dxa"/>
          </w:tcPr>
          <w:p w14:paraId="387ADFDB" w14:textId="0F71DACF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69A20630" w14:textId="325315DF" w:rsidR="006943A6" w:rsidRPr="00244C8C" w:rsidRDefault="006943A6" w:rsidP="006943A6">
            <w:pPr>
              <w:rPr>
                <w:color w:val="C00000"/>
              </w:rPr>
            </w:pPr>
            <w:r w:rsidRPr="00244C8C">
              <w:rPr>
                <w:rFonts w:ascii="Calibri" w:hAnsi="Calibri" w:cs="Calibri"/>
                <w:color w:val="C00000"/>
                <w:sz w:val="22"/>
                <w:szCs w:val="22"/>
              </w:rPr>
              <w:t>0.22807</w:t>
            </w:r>
          </w:p>
        </w:tc>
        <w:tc>
          <w:tcPr>
            <w:tcW w:w="1842" w:type="dxa"/>
            <w:noWrap/>
            <w:vAlign w:val="bottom"/>
            <w:hideMark/>
          </w:tcPr>
          <w:p w14:paraId="07D440A0" w14:textId="16301378" w:rsidR="006943A6" w:rsidRPr="00D643AD" w:rsidRDefault="006943A6" w:rsidP="006943A6">
            <w:pPr>
              <w:rPr>
                <w:color w:val="FF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0.346125</w:t>
            </w:r>
          </w:p>
        </w:tc>
      </w:tr>
      <w:tr w:rsidR="006943A6" w:rsidRPr="00D643AD" w14:paraId="3AACBDFF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6597F4C5" w14:textId="1E4A904B" w:rsidR="006943A6" w:rsidRPr="00D643AD" w:rsidRDefault="006943A6" w:rsidP="006943A6">
            <w:r>
              <w:rPr>
                <w:rFonts w:ascii="Calibri" w:hAnsi="Calibri" w:cs="Calibri"/>
                <w:color w:val="000000"/>
                <w:sz w:val="22"/>
                <w:szCs w:val="22"/>
              </w:rPr>
              <w:t>NKX3_1</w:t>
            </w:r>
          </w:p>
        </w:tc>
        <w:tc>
          <w:tcPr>
            <w:tcW w:w="2268" w:type="dxa"/>
          </w:tcPr>
          <w:p w14:paraId="33A9DFC9" w14:textId="00467D4C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11960655" w14:textId="5CEAB836" w:rsidR="006943A6" w:rsidRPr="00244C8C" w:rsidRDefault="006943A6" w:rsidP="006943A6">
            <w:pPr>
              <w:rPr>
                <w:color w:val="C00000"/>
              </w:rPr>
            </w:pPr>
            <w:r w:rsidRPr="00244C8C">
              <w:rPr>
                <w:rFonts w:ascii="Calibri" w:hAnsi="Calibri" w:cs="Calibri"/>
                <w:color w:val="C00000"/>
                <w:sz w:val="22"/>
                <w:szCs w:val="22"/>
              </w:rPr>
              <w:t>0.147368</w:t>
            </w:r>
          </w:p>
        </w:tc>
        <w:tc>
          <w:tcPr>
            <w:tcW w:w="1842" w:type="dxa"/>
            <w:noWrap/>
            <w:vAlign w:val="bottom"/>
            <w:hideMark/>
          </w:tcPr>
          <w:p w14:paraId="437D9969" w14:textId="790BCDD3" w:rsidR="006943A6" w:rsidRPr="00D643AD" w:rsidRDefault="006943A6" w:rsidP="006943A6">
            <w:pPr>
              <w:rPr>
                <w:color w:val="FF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0.545793</w:t>
            </w:r>
          </w:p>
        </w:tc>
      </w:tr>
      <w:tr w:rsidR="006943A6" w:rsidRPr="00D643AD" w14:paraId="4EF8F7BB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1001ADA4" w14:textId="49830BA0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SCG2</w:t>
            </w:r>
          </w:p>
        </w:tc>
        <w:tc>
          <w:tcPr>
            <w:tcW w:w="2268" w:type="dxa"/>
          </w:tcPr>
          <w:p w14:paraId="35215E28" w14:textId="42884A13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Secretogranin II</w:t>
            </w:r>
          </w:p>
        </w:tc>
        <w:tc>
          <w:tcPr>
            <w:tcW w:w="1843" w:type="dxa"/>
            <w:vAlign w:val="bottom"/>
          </w:tcPr>
          <w:p w14:paraId="2B6F236D" w14:textId="16FAF8A4" w:rsidR="006943A6" w:rsidRPr="00244C8C" w:rsidRDefault="006943A6" w:rsidP="006943A6">
            <w:pPr>
              <w:rPr>
                <w:color w:val="C00000"/>
              </w:rPr>
            </w:pPr>
            <w:r w:rsidRPr="00244C8C">
              <w:rPr>
                <w:rFonts w:ascii="Calibri" w:hAnsi="Calibri" w:cs="Calibri"/>
                <w:color w:val="C00000"/>
                <w:sz w:val="22"/>
                <w:szCs w:val="22"/>
              </w:rPr>
              <w:t>0.019298</w:t>
            </w:r>
          </w:p>
        </w:tc>
        <w:tc>
          <w:tcPr>
            <w:tcW w:w="1842" w:type="dxa"/>
            <w:noWrap/>
            <w:vAlign w:val="bottom"/>
            <w:hideMark/>
          </w:tcPr>
          <w:p w14:paraId="61AEE4F0" w14:textId="0E7D9AFA" w:rsidR="006943A6" w:rsidRPr="00D643AD" w:rsidRDefault="006943A6" w:rsidP="006943A6">
            <w:pPr>
              <w:rPr>
                <w:color w:val="FF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0.93968</w:t>
            </w:r>
          </w:p>
        </w:tc>
      </w:tr>
      <w:tr w:rsidR="006943A6" w:rsidRPr="00D643AD" w14:paraId="16FB5FDC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4044ACC1" w14:textId="70CED66A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CHGB</w:t>
            </w:r>
          </w:p>
        </w:tc>
        <w:tc>
          <w:tcPr>
            <w:tcW w:w="2268" w:type="dxa"/>
          </w:tcPr>
          <w:p w14:paraId="365A8E2E" w14:textId="0670A8FA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Chromogranin B</w:t>
            </w:r>
          </w:p>
        </w:tc>
        <w:tc>
          <w:tcPr>
            <w:tcW w:w="1843" w:type="dxa"/>
            <w:vAlign w:val="bottom"/>
          </w:tcPr>
          <w:p w14:paraId="25A45091" w14:textId="5C25EF4F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-0.00526</w:t>
            </w:r>
          </w:p>
        </w:tc>
        <w:tc>
          <w:tcPr>
            <w:tcW w:w="1842" w:type="dxa"/>
            <w:noWrap/>
            <w:vAlign w:val="bottom"/>
            <w:hideMark/>
          </w:tcPr>
          <w:p w14:paraId="2BB38618" w14:textId="12F6879D" w:rsidR="006943A6" w:rsidRPr="00D643AD" w:rsidRDefault="006943A6" w:rsidP="006943A6">
            <w:pPr>
              <w:rPr>
                <w:color w:val="FF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0.985626</w:t>
            </w:r>
          </w:p>
        </w:tc>
      </w:tr>
      <w:tr w:rsidR="006943A6" w:rsidRPr="00D643AD" w14:paraId="2899C01D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44992AA7" w14:textId="7881E8D7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SYP</w:t>
            </w:r>
          </w:p>
        </w:tc>
        <w:tc>
          <w:tcPr>
            <w:tcW w:w="2268" w:type="dxa"/>
          </w:tcPr>
          <w:p w14:paraId="570772B3" w14:textId="2665C780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Synaptophysin </w:t>
            </w:r>
          </w:p>
        </w:tc>
        <w:tc>
          <w:tcPr>
            <w:tcW w:w="1843" w:type="dxa"/>
            <w:vAlign w:val="bottom"/>
          </w:tcPr>
          <w:p w14:paraId="43061731" w14:textId="4B0D4471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-0.05965</w:t>
            </w:r>
          </w:p>
        </w:tc>
        <w:tc>
          <w:tcPr>
            <w:tcW w:w="1842" w:type="dxa"/>
            <w:noWrap/>
            <w:vAlign w:val="bottom"/>
            <w:hideMark/>
          </w:tcPr>
          <w:p w14:paraId="5BB49A6D" w14:textId="0EE6FDC0" w:rsidR="006943A6" w:rsidRPr="00D643AD" w:rsidRDefault="006943A6" w:rsidP="006943A6">
            <w:pPr>
              <w:rPr>
                <w:color w:val="FF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0.809119</w:t>
            </w:r>
          </w:p>
        </w:tc>
      </w:tr>
      <w:tr w:rsidR="006943A6" w:rsidRPr="00D643AD" w14:paraId="78CF583A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2D6BE87C" w14:textId="1E53B2FD" w:rsidR="006943A6" w:rsidRPr="00D643AD" w:rsidRDefault="006943A6" w:rsidP="006943A6">
            <w:r>
              <w:rPr>
                <w:rFonts w:ascii="Calibri" w:hAnsi="Calibri" w:cs="Calibri"/>
                <w:color w:val="000000"/>
                <w:sz w:val="22"/>
                <w:szCs w:val="22"/>
              </w:rPr>
              <w:t>CDH1</w:t>
            </w:r>
          </w:p>
        </w:tc>
        <w:tc>
          <w:tcPr>
            <w:tcW w:w="2268" w:type="dxa"/>
          </w:tcPr>
          <w:p w14:paraId="3E9DAEC2" w14:textId="536C26F9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1FC2AF9F" w14:textId="53C81A16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-0.06316</w:t>
            </w:r>
          </w:p>
        </w:tc>
        <w:tc>
          <w:tcPr>
            <w:tcW w:w="1842" w:type="dxa"/>
            <w:noWrap/>
            <w:vAlign w:val="bottom"/>
            <w:hideMark/>
          </w:tcPr>
          <w:p w14:paraId="0AD820AF" w14:textId="20CA2296" w:rsidR="006943A6" w:rsidRPr="00D643AD" w:rsidRDefault="006943A6" w:rsidP="006943A6">
            <w:pPr>
              <w:rPr>
                <w:color w:val="4472C4" w:themeColor="accent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0.797947</w:t>
            </w:r>
          </w:p>
        </w:tc>
      </w:tr>
      <w:tr w:rsidR="006943A6" w:rsidRPr="00D643AD" w14:paraId="3F0DE4DE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45789F3B" w14:textId="0795A559" w:rsidR="006943A6" w:rsidRPr="00D643AD" w:rsidRDefault="006943A6" w:rsidP="006943A6">
            <w:r>
              <w:rPr>
                <w:rFonts w:ascii="Calibri" w:hAnsi="Calibri" w:cs="Calibri"/>
                <w:color w:val="000000"/>
                <w:sz w:val="22"/>
                <w:szCs w:val="22"/>
              </w:rPr>
              <w:t>VIM</w:t>
            </w:r>
          </w:p>
        </w:tc>
        <w:tc>
          <w:tcPr>
            <w:tcW w:w="2268" w:type="dxa"/>
          </w:tcPr>
          <w:p w14:paraId="19BE96A8" w14:textId="7BA73678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3F818582" w14:textId="4246307A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-0.10877</w:t>
            </w:r>
          </w:p>
        </w:tc>
        <w:tc>
          <w:tcPr>
            <w:tcW w:w="1842" w:type="dxa"/>
            <w:noWrap/>
            <w:vAlign w:val="bottom"/>
            <w:hideMark/>
          </w:tcPr>
          <w:p w14:paraId="66EB955B" w14:textId="3F01D592" w:rsidR="006943A6" w:rsidRPr="00D643AD" w:rsidRDefault="006943A6" w:rsidP="006943A6">
            <w:pPr>
              <w:rPr>
                <w:color w:val="4472C4" w:themeColor="accent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0.656954</w:t>
            </w:r>
          </w:p>
        </w:tc>
      </w:tr>
      <w:tr w:rsidR="006943A6" w:rsidRPr="00D643AD" w14:paraId="0BF5E56C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1311DE09" w14:textId="5A7E4AE7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TTF1</w:t>
            </w:r>
          </w:p>
        </w:tc>
        <w:tc>
          <w:tcPr>
            <w:tcW w:w="2268" w:type="dxa"/>
          </w:tcPr>
          <w:p w14:paraId="70756581" w14:textId="77777777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2F7FBA64" w14:textId="3FA678CF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-0.17895</w:t>
            </w:r>
          </w:p>
        </w:tc>
        <w:tc>
          <w:tcPr>
            <w:tcW w:w="1842" w:type="dxa"/>
            <w:noWrap/>
            <w:vAlign w:val="bottom"/>
            <w:hideMark/>
          </w:tcPr>
          <w:p w14:paraId="521E4DDE" w14:textId="7FCCA0AE" w:rsidR="006943A6" w:rsidRPr="00D643AD" w:rsidRDefault="006943A6" w:rsidP="006943A6">
            <w:pPr>
              <w:rPr>
                <w:color w:val="4472C4" w:themeColor="accent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0.461923</w:t>
            </w:r>
          </w:p>
        </w:tc>
      </w:tr>
      <w:tr w:rsidR="006943A6" w:rsidRPr="00D643AD" w14:paraId="51022F50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736F1C06" w14:textId="10124E03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NKX2_1</w:t>
            </w:r>
          </w:p>
        </w:tc>
        <w:tc>
          <w:tcPr>
            <w:tcW w:w="2268" w:type="dxa"/>
          </w:tcPr>
          <w:p w14:paraId="110A9B50" w14:textId="3E2D55DF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08931070" w14:textId="62C3EA91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-0.17895</w:t>
            </w:r>
          </w:p>
        </w:tc>
        <w:tc>
          <w:tcPr>
            <w:tcW w:w="1842" w:type="dxa"/>
            <w:noWrap/>
            <w:vAlign w:val="bottom"/>
            <w:hideMark/>
          </w:tcPr>
          <w:p w14:paraId="0CEA4EB7" w14:textId="1D8A35A7" w:rsidR="006943A6" w:rsidRPr="00D643AD" w:rsidRDefault="006943A6" w:rsidP="006943A6">
            <w:pPr>
              <w:rPr>
                <w:color w:val="4472C4" w:themeColor="accent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0.461923</w:t>
            </w:r>
          </w:p>
        </w:tc>
      </w:tr>
      <w:tr w:rsidR="006943A6" w:rsidRPr="00D643AD" w14:paraId="0A840764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5BDDFD88" w14:textId="57CB0351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CHGA</w:t>
            </w:r>
          </w:p>
        </w:tc>
        <w:tc>
          <w:tcPr>
            <w:tcW w:w="2268" w:type="dxa"/>
          </w:tcPr>
          <w:p w14:paraId="7A5AA783" w14:textId="7A713635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Chromogranin A</w:t>
            </w:r>
          </w:p>
        </w:tc>
        <w:tc>
          <w:tcPr>
            <w:tcW w:w="1843" w:type="dxa"/>
            <w:vAlign w:val="bottom"/>
          </w:tcPr>
          <w:p w14:paraId="6E5432B4" w14:textId="5EF50F59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-0.2</w:t>
            </w:r>
          </w:p>
        </w:tc>
        <w:tc>
          <w:tcPr>
            <w:tcW w:w="1842" w:type="dxa"/>
            <w:noWrap/>
            <w:vAlign w:val="bottom"/>
            <w:hideMark/>
          </w:tcPr>
          <w:p w14:paraId="2F2A1D9A" w14:textId="67BE6FFF" w:rsidR="006943A6" w:rsidRPr="00D643AD" w:rsidRDefault="006943A6" w:rsidP="006943A6">
            <w:pPr>
              <w:rPr>
                <w:color w:val="4472C4" w:themeColor="accent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0.41001</w:t>
            </w:r>
          </w:p>
        </w:tc>
      </w:tr>
      <w:tr w:rsidR="006943A6" w:rsidRPr="00D643AD" w14:paraId="263555EA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061C4838" w14:textId="6F2DA95C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TFRC</w:t>
            </w:r>
          </w:p>
        </w:tc>
        <w:tc>
          <w:tcPr>
            <w:tcW w:w="2268" w:type="dxa"/>
          </w:tcPr>
          <w:p w14:paraId="673E2414" w14:textId="68AAB114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CD71</w:t>
            </w:r>
          </w:p>
        </w:tc>
        <w:tc>
          <w:tcPr>
            <w:tcW w:w="1843" w:type="dxa"/>
            <w:vAlign w:val="bottom"/>
          </w:tcPr>
          <w:p w14:paraId="060B4B5D" w14:textId="02D95929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-0.21579</w:t>
            </w:r>
          </w:p>
        </w:tc>
        <w:tc>
          <w:tcPr>
            <w:tcW w:w="1842" w:type="dxa"/>
            <w:noWrap/>
            <w:vAlign w:val="bottom"/>
            <w:hideMark/>
          </w:tcPr>
          <w:p w14:paraId="7A56D90B" w14:textId="6F02106E" w:rsidR="006943A6" w:rsidRPr="00D643AD" w:rsidRDefault="006943A6" w:rsidP="006943A6">
            <w:pPr>
              <w:rPr>
                <w:color w:val="4472C4" w:themeColor="accent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0.373308</w:t>
            </w:r>
          </w:p>
        </w:tc>
      </w:tr>
      <w:tr w:rsidR="006943A6" w:rsidRPr="00D643AD" w14:paraId="628CC5FE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672DCBC5" w14:textId="71B14F3F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TP53</w:t>
            </w:r>
          </w:p>
        </w:tc>
        <w:tc>
          <w:tcPr>
            <w:tcW w:w="2268" w:type="dxa"/>
          </w:tcPr>
          <w:p w14:paraId="17EB1C07" w14:textId="6ACB278E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62EF35A2" w14:textId="55FAF739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-0.22807</w:t>
            </w:r>
          </w:p>
        </w:tc>
        <w:tc>
          <w:tcPr>
            <w:tcW w:w="1842" w:type="dxa"/>
            <w:noWrap/>
            <w:vAlign w:val="bottom"/>
            <w:hideMark/>
          </w:tcPr>
          <w:p w14:paraId="0DE9655E" w14:textId="400F0721" w:rsidR="006943A6" w:rsidRPr="00D643AD" w:rsidRDefault="006943A6" w:rsidP="006943A6">
            <w:pPr>
              <w:rPr>
                <w:color w:val="4472C4" w:themeColor="accent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0.346125</w:t>
            </w:r>
          </w:p>
        </w:tc>
      </w:tr>
      <w:tr w:rsidR="006943A6" w:rsidRPr="00D643AD" w14:paraId="3B6389AE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4D948049" w14:textId="3346A2F9" w:rsidR="006943A6" w:rsidRPr="00D643AD" w:rsidRDefault="006943A6" w:rsidP="006943A6">
            <w:r>
              <w:rPr>
                <w:rFonts w:ascii="Calibri" w:hAnsi="Calibri" w:cs="Calibri"/>
                <w:color w:val="000000"/>
                <w:sz w:val="22"/>
                <w:szCs w:val="22"/>
              </w:rPr>
              <w:t>MKI67</w:t>
            </w:r>
          </w:p>
        </w:tc>
        <w:tc>
          <w:tcPr>
            <w:tcW w:w="2268" w:type="dxa"/>
          </w:tcPr>
          <w:p w14:paraId="3A413CEF" w14:textId="016F7E63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550A4749" w14:textId="319EF59C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-0.26491</w:t>
            </w:r>
          </w:p>
        </w:tc>
        <w:tc>
          <w:tcPr>
            <w:tcW w:w="1842" w:type="dxa"/>
            <w:noWrap/>
            <w:vAlign w:val="bottom"/>
            <w:hideMark/>
          </w:tcPr>
          <w:p w14:paraId="065DA266" w14:textId="4C7EBF54" w:rsidR="006943A6" w:rsidRPr="00D643AD" w:rsidRDefault="006943A6" w:rsidP="006943A6">
            <w:pPr>
              <w:rPr>
                <w:color w:val="4472C4" w:themeColor="accent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0.271901</w:t>
            </w:r>
          </w:p>
        </w:tc>
      </w:tr>
      <w:tr w:rsidR="006943A6" w:rsidRPr="00D643AD" w14:paraId="25D7DD52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74A5A502" w14:textId="5DCF981C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AURKA</w:t>
            </w:r>
          </w:p>
        </w:tc>
        <w:tc>
          <w:tcPr>
            <w:tcW w:w="2268" w:type="dxa"/>
          </w:tcPr>
          <w:p w14:paraId="60F2D9A6" w14:textId="5E879EEF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11B844E6" w14:textId="73CB7FCD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-0.28947</w:t>
            </w:r>
          </w:p>
        </w:tc>
        <w:tc>
          <w:tcPr>
            <w:tcW w:w="1842" w:type="dxa"/>
            <w:noWrap/>
            <w:vAlign w:val="bottom"/>
            <w:hideMark/>
          </w:tcPr>
          <w:p w14:paraId="6537F91B" w14:textId="2E600753" w:rsidR="006943A6" w:rsidRPr="00D643AD" w:rsidRDefault="006943A6" w:rsidP="006943A6">
            <w:pPr>
              <w:rPr>
                <w:color w:val="4472C4" w:themeColor="accent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0.228565</w:t>
            </w:r>
          </w:p>
        </w:tc>
      </w:tr>
      <w:tr w:rsidR="006943A6" w:rsidRPr="00D643AD" w14:paraId="28F50808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655260A3" w14:textId="3B86C8EC" w:rsidR="006943A6" w:rsidRPr="00D643AD" w:rsidRDefault="006943A6" w:rsidP="006943A6"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INSM1</w:t>
            </w:r>
          </w:p>
        </w:tc>
        <w:tc>
          <w:tcPr>
            <w:tcW w:w="2268" w:type="dxa"/>
          </w:tcPr>
          <w:p w14:paraId="665795A8" w14:textId="51C32429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245242DB" w14:textId="5F94B102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-0.32807</w:t>
            </w:r>
          </w:p>
        </w:tc>
        <w:tc>
          <w:tcPr>
            <w:tcW w:w="1842" w:type="dxa"/>
            <w:noWrap/>
            <w:vAlign w:val="bottom"/>
            <w:hideMark/>
          </w:tcPr>
          <w:p w14:paraId="02DB85C8" w14:textId="19160A95" w:rsidR="006943A6" w:rsidRPr="00D643AD" w:rsidRDefault="006943A6" w:rsidP="006943A6">
            <w:pPr>
              <w:rPr>
                <w:color w:val="4472C4" w:themeColor="accent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0.170212</w:t>
            </w:r>
          </w:p>
        </w:tc>
      </w:tr>
      <w:tr w:rsidR="006943A6" w:rsidRPr="00D643AD" w14:paraId="59040646" w14:textId="77777777" w:rsidTr="006943A6">
        <w:trPr>
          <w:trHeight w:val="397"/>
        </w:trPr>
        <w:tc>
          <w:tcPr>
            <w:tcW w:w="1413" w:type="dxa"/>
            <w:noWrap/>
            <w:vAlign w:val="bottom"/>
            <w:hideMark/>
          </w:tcPr>
          <w:p w14:paraId="5B41D38D" w14:textId="178BF180" w:rsidR="006943A6" w:rsidRPr="00E67BBA" w:rsidRDefault="006943A6" w:rsidP="006943A6">
            <w:pPr>
              <w:rPr>
                <w:highlight w:val="yellow"/>
              </w:rPr>
            </w:pPr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NCAM1</w:t>
            </w:r>
          </w:p>
        </w:tc>
        <w:tc>
          <w:tcPr>
            <w:tcW w:w="2268" w:type="dxa"/>
          </w:tcPr>
          <w:p w14:paraId="4E258AF9" w14:textId="56642A97" w:rsidR="006943A6" w:rsidRDefault="006943A6" w:rsidP="006943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CD56</w:t>
            </w:r>
          </w:p>
        </w:tc>
        <w:tc>
          <w:tcPr>
            <w:tcW w:w="1843" w:type="dxa"/>
            <w:vAlign w:val="bottom"/>
          </w:tcPr>
          <w:p w14:paraId="075DAE5B" w14:textId="49153881" w:rsidR="006943A6" w:rsidRPr="00244C8C" w:rsidRDefault="006943A6" w:rsidP="006943A6">
            <w:pPr>
              <w:rPr>
                <w:color w:val="0070C0"/>
              </w:rPr>
            </w:pPr>
            <w:r w:rsidRPr="00244C8C">
              <w:rPr>
                <w:rFonts w:ascii="Calibri" w:hAnsi="Calibri" w:cs="Calibri"/>
                <w:color w:val="0070C0"/>
                <w:sz w:val="22"/>
                <w:szCs w:val="22"/>
              </w:rPr>
              <w:t>-0.37719</w:t>
            </w:r>
          </w:p>
        </w:tc>
        <w:tc>
          <w:tcPr>
            <w:tcW w:w="1842" w:type="dxa"/>
            <w:noWrap/>
            <w:vAlign w:val="bottom"/>
            <w:hideMark/>
          </w:tcPr>
          <w:p w14:paraId="2FF67C47" w14:textId="2F062206" w:rsidR="006943A6" w:rsidRPr="00D643AD" w:rsidRDefault="006943A6" w:rsidP="006943A6">
            <w:pPr>
              <w:rPr>
                <w:color w:val="4472C4" w:themeColor="accent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0.112153</w:t>
            </w:r>
          </w:p>
        </w:tc>
      </w:tr>
      <w:tr w:rsidR="00E67BBA" w:rsidRPr="00D643AD" w14:paraId="448FFF35" w14:textId="77777777" w:rsidTr="00C116C5">
        <w:trPr>
          <w:trHeight w:val="397"/>
        </w:trPr>
        <w:tc>
          <w:tcPr>
            <w:tcW w:w="1413" w:type="dxa"/>
            <w:noWrap/>
            <w:vAlign w:val="bottom"/>
          </w:tcPr>
          <w:p w14:paraId="1E4578F1" w14:textId="3F71F145" w:rsidR="00E67BBA" w:rsidRPr="00E67BBA" w:rsidRDefault="00E67BBA" w:rsidP="00E67BBA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BRCA1</w:t>
            </w:r>
          </w:p>
        </w:tc>
        <w:tc>
          <w:tcPr>
            <w:tcW w:w="2268" w:type="dxa"/>
            <w:vAlign w:val="bottom"/>
          </w:tcPr>
          <w:p w14:paraId="6A3D8606" w14:textId="0541F569" w:rsidR="00E67BBA" w:rsidRDefault="00E67BBA" w:rsidP="00E67BB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554B712A" w14:textId="64FD8239" w:rsidR="00E67BBA" w:rsidRPr="00E67BBA" w:rsidRDefault="00E67BBA" w:rsidP="00E67BBA">
            <w:pPr>
              <w:rPr>
                <w:rFonts w:ascii="Calibri" w:hAnsi="Calibri" w:cs="Calibri"/>
                <w:color w:val="4472C4" w:themeColor="accent1"/>
                <w:sz w:val="22"/>
                <w:szCs w:val="22"/>
              </w:rPr>
            </w:pPr>
            <w:r w:rsidRPr="00E67BBA">
              <w:rPr>
                <w:rFonts w:ascii="Calibri" w:hAnsi="Calibri" w:cs="Calibri"/>
                <w:color w:val="4472C4" w:themeColor="accent1"/>
                <w:sz w:val="22"/>
                <w:szCs w:val="22"/>
              </w:rPr>
              <w:t>-0.46842</w:t>
            </w:r>
          </w:p>
        </w:tc>
        <w:tc>
          <w:tcPr>
            <w:tcW w:w="1842" w:type="dxa"/>
            <w:noWrap/>
            <w:vAlign w:val="bottom"/>
          </w:tcPr>
          <w:p w14:paraId="4A41420E" w14:textId="4F9BACBF" w:rsidR="00E67BBA" w:rsidRPr="00E67BBA" w:rsidRDefault="00E67BBA" w:rsidP="00E67BBA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E67BBA">
              <w:rPr>
                <w:rFonts w:ascii="Calibri" w:hAnsi="Calibri" w:cs="Calibri"/>
                <w:color w:val="00B050"/>
                <w:sz w:val="22"/>
                <w:szCs w:val="22"/>
              </w:rPr>
              <w:t>0.044756</w:t>
            </w:r>
          </w:p>
        </w:tc>
      </w:tr>
      <w:tr w:rsidR="00E67BBA" w:rsidRPr="00D643AD" w14:paraId="2160A9CE" w14:textId="77777777" w:rsidTr="00C116C5">
        <w:trPr>
          <w:trHeight w:val="397"/>
        </w:trPr>
        <w:tc>
          <w:tcPr>
            <w:tcW w:w="1413" w:type="dxa"/>
            <w:noWrap/>
            <w:vAlign w:val="bottom"/>
          </w:tcPr>
          <w:p w14:paraId="3E341F5E" w14:textId="18367A8B" w:rsidR="00E67BBA" w:rsidRPr="00E67BBA" w:rsidRDefault="00E67BBA" w:rsidP="00E67BBA">
            <w:pPr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</w:pPr>
            <w:r w:rsidRPr="00E67BBA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BRCA2</w:t>
            </w:r>
          </w:p>
        </w:tc>
        <w:tc>
          <w:tcPr>
            <w:tcW w:w="2268" w:type="dxa"/>
            <w:vAlign w:val="bottom"/>
          </w:tcPr>
          <w:p w14:paraId="70A429D8" w14:textId="3484CB81" w:rsidR="00E67BBA" w:rsidRDefault="00E67BBA" w:rsidP="00E67BB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Align w:val="bottom"/>
          </w:tcPr>
          <w:p w14:paraId="64E6355C" w14:textId="6FE9B3BD" w:rsidR="00E67BBA" w:rsidRPr="00E67BBA" w:rsidRDefault="00E67BBA" w:rsidP="00E67BBA">
            <w:pPr>
              <w:rPr>
                <w:rFonts w:ascii="Calibri" w:hAnsi="Calibri" w:cs="Calibri"/>
                <w:color w:val="4472C4" w:themeColor="accent1"/>
                <w:sz w:val="22"/>
                <w:szCs w:val="22"/>
              </w:rPr>
            </w:pPr>
            <w:r w:rsidRPr="00E67BBA">
              <w:rPr>
                <w:rFonts w:ascii="Calibri" w:hAnsi="Calibri" w:cs="Calibri"/>
                <w:color w:val="4472C4" w:themeColor="accent1"/>
                <w:sz w:val="22"/>
                <w:szCs w:val="22"/>
              </w:rPr>
              <w:t>-0.51053</w:t>
            </w:r>
          </w:p>
        </w:tc>
        <w:tc>
          <w:tcPr>
            <w:tcW w:w="1842" w:type="dxa"/>
            <w:noWrap/>
            <w:vAlign w:val="bottom"/>
          </w:tcPr>
          <w:p w14:paraId="6E99E7DB" w14:textId="5253E724" w:rsidR="00E67BBA" w:rsidRPr="00E67BBA" w:rsidRDefault="00E67BBA" w:rsidP="00E67BBA">
            <w:pPr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E67BBA">
              <w:rPr>
                <w:rFonts w:ascii="Calibri" w:hAnsi="Calibri" w:cs="Calibri"/>
                <w:color w:val="00B050"/>
                <w:sz w:val="22"/>
                <w:szCs w:val="22"/>
              </w:rPr>
              <w:t>0.027192</w:t>
            </w:r>
          </w:p>
        </w:tc>
      </w:tr>
    </w:tbl>
    <w:p w14:paraId="7F4B18F6" w14:textId="23E0CE33" w:rsidR="006F5933" w:rsidRDefault="006F5933" w:rsidP="006F5933">
      <w:pPr>
        <w:rPr>
          <w:lang w:val="en-GB"/>
        </w:rPr>
      </w:pPr>
    </w:p>
    <w:p w14:paraId="7F098E26" w14:textId="22D09674" w:rsidR="006F5933" w:rsidRDefault="006F5933" w:rsidP="006F5933">
      <w:pPr>
        <w:rPr>
          <w:b/>
          <w:bCs/>
        </w:rPr>
      </w:pPr>
      <w:r>
        <w:rPr>
          <w:b/>
          <w:bCs/>
        </w:rPr>
        <w:t xml:space="preserve">DFS Survival analysis for biomarkers </w:t>
      </w:r>
      <w:r>
        <w:rPr>
          <w:b/>
          <w:bCs/>
        </w:rPr>
        <w:t>for metastatic samples</w:t>
      </w:r>
    </w:p>
    <w:p w14:paraId="3728A0A8" w14:textId="254F267C" w:rsidR="006F5933" w:rsidRDefault="006F5933" w:rsidP="006F5933">
      <w:r>
        <w:t xml:space="preserve">The biomarkers that showed significant or close to significant differences in DFS survival analysis once grouped based on median expression level are below. </w:t>
      </w:r>
    </w:p>
    <w:p w14:paraId="7B07E072" w14:textId="33F45AC5" w:rsidR="006F5933" w:rsidRPr="006F5933" w:rsidRDefault="006F5933" w:rsidP="006F5933">
      <w:r>
        <w:rPr>
          <w:noProof/>
          <w14:ligatures w14:val="none"/>
        </w:rPr>
        <w:drawing>
          <wp:anchor distT="0" distB="0" distL="114300" distR="114300" simplePos="0" relativeHeight="251670528" behindDoc="0" locked="0" layoutInCell="1" allowOverlap="1" wp14:anchorId="60C1FD77" wp14:editId="1BD069FB">
            <wp:simplePos x="0" y="0"/>
            <wp:positionH relativeFrom="column">
              <wp:posOffset>-57150</wp:posOffset>
            </wp:positionH>
            <wp:positionV relativeFrom="paragraph">
              <wp:posOffset>212725</wp:posOffset>
            </wp:positionV>
            <wp:extent cx="2543175" cy="25431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568145" w14:textId="6AC05E88" w:rsidR="00660061" w:rsidRDefault="006F5933">
      <w:pPr>
        <w:spacing w:line="259" w:lineRule="auto"/>
        <w:rPr>
          <w:b/>
          <w:bCs/>
        </w:rPr>
      </w:pPr>
      <w:r>
        <w:rPr>
          <w:b/>
          <w:bCs/>
          <w:noProof/>
          <w14:ligatures w14:val="none"/>
        </w:rPr>
        <w:drawing>
          <wp:anchor distT="0" distB="0" distL="114300" distR="114300" simplePos="0" relativeHeight="251671552" behindDoc="0" locked="0" layoutInCell="1" allowOverlap="1" wp14:anchorId="28E36FA5" wp14:editId="2D62CE07">
            <wp:simplePos x="0" y="0"/>
            <wp:positionH relativeFrom="margin">
              <wp:posOffset>3190875</wp:posOffset>
            </wp:positionH>
            <wp:positionV relativeFrom="paragraph">
              <wp:posOffset>1905</wp:posOffset>
            </wp:positionV>
            <wp:extent cx="2457450" cy="24574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345A4" w14:textId="32AD566B" w:rsidR="00660061" w:rsidRDefault="00660061">
      <w:pPr>
        <w:spacing w:line="259" w:lineRule="auto"/>
        <w:rPr>
          <w:b/>
          <w:bCs/>
        </w:rPr>
      </w:pPr>
    </w:p>
    <w:p w14:paraId="270B4FBB" w14:textId="417FD47D" w:rsidR="00660061" w:rsidRDefault="00660061">
      <w:pPr>
        <w:spacing w:line="259" w:lineRule="auto"/>
        <w:rPr>
          <w:b/>
          <w:bCs/>
        </w:rPr>
      </w:pPr>
    </w:p>
    <w:p w14:paraId="7C74060C" w14:textId="738C5C5D" w:rsidR="00660061" w:rsidRDefault="00660061">
      <w:pPr>
        <w:spacing w:line="259" w:lineRule="auto"/>
        <w:rPr>
          <w:b/>
          <w:bCs/>
        </w:rPr>
      </w:pPr>
    </w:p>
    <w:p w14:paraId="799C4BB7" w14:textId="47A400E9" w:rsidR="00660061" w:rsidRDefault="00660061">
      <w:pPr>
        <w:spacing w:line="259" w:lineRule="auto"/>
        <w:rPr>
          <w:b/>
          <w:bCs/>
        </w:rPr>
      </w:pPr>
    </w:p>
    <w:p w14:paraId="4A116BA2" w14:textId="7F311548" w:rsidR="00660061" w:rsidRDefault="00660061">
      <w:pPr>
        <w:spacing w:line="259" w:lineRule="auto"/>
        <w:rPr>
          <w:b/>
          <w:bCs/>
        </w:rPr>
      </w:pPr>
    </w:p>
    <w:p w14:paraId="0792634B" w14:textId="70F78642" w:rsidR="00257E15" w:rsidRDefault="00257E15">
      <w:pPr>
        <w:rPr>
          <w:b/>
          <w:bCs/>
        </w:rPr>
      </w:pPr>
    </w:p>
    <w:p w14:paraId="62E67FAB" w14:textId="6AF25C1C" w:rsidR="006F5933" w:rsidRDefault="006F5933">
      <w:pPr>
        <w:rPr>
          <w:b/>
          <w:bCs/>
        </w:rPr>
      </w:pPr>
    </w:p>
    <w:p w14:paraId="6EC483B2" w14:textId="04ADBA8C" w:rsidR="006F5933" w:rsidRPr="005E29F6" w:rsidRDefault="006F5933">
      <w:pPr>
        <w:rPr>
          <w:b/>
          <w:bCs/>
        </w:rPr>
      </w:pPr>
      <w:r>
        <w:rPr>
          <w:b/>
          <w:bCs/>
          <w:noProof/>
          <w14:ligatures w14:val="none"/>
        </w:rPr>
        <w:lastRenderedPageBreak/>
        <w:drawing>
          <wp:anchor distT="0" distB="0" distL="114300" distR="114300" simplePos="0" relativeHeight="251672576" behindDoc="0" locked="0" layoutInCell="1" allowOverlap="1" wp14:anchorId="607975CD" wp14:editId="62DEBCC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495550" cy="24955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F5933" w:rsidRPr="005E2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6"/>
    <w:rsid w:val="00244C8C"/>
    <w:rsid w:val="00257E15"/>
    <w:rsid w:val="005E29F6"/>
    <w:rsid w:val="00660061"/>
    <w:rsid w:val="006943A6"/>
    <w:rsid w:val="006F5933"/>
    <w:rsid w:val="00E6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629E3495"/>
  <w15:chartTrackingRefBased/>
  <w15:docId w15:val="{7F19EFFE-D24A-4E7A-A478-E855F7D6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6"/>
    <w:pPr>
      <w:spacing w:line="278" w:lineRule="auto"/>
    </w:pPr>
    <w:rPr>
      <w:rFonts w:cs="Arial Unicode MS"/>
      <w:kern w:val="2"/>
      <w:sz w:val="24"/>
      <w:szCs w:val="24"/>
      <w:lang w:val="en-US" w:bidi="si-L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29F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bidi="si-LK"/>
      <w14:ligatures w14:val="standardContextual"/>
    </w:rPr>
  </w:style>
  <w:style w:type="table" w:styleId="TableGrid">
    <w:name w:val="Table Grid"/>
    <w:basedOn w:val="TableNormal"/>
    <w:uiPriority w:val="39"/>
    <w:rsid w:val="005E29F6"/>
    <w:pPr>
      <w:spacing w:after="0" w:line="240" w:lineRule="auto"/>
    </w:pPr>
    <w:rPr>
      <w:kern w:val="2"/>
      <w:sz w:val="24"/>
      <w:szCs w:val="24"/>
      <w:lang w:val="en-US" w:bidi="si-LK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Sachintha Haupe Liyanage</dc:creator>
  <cp:keywords/>
  <dc:description/>
  <cp:lastModifiedBy>Ravindu Sachintha Haupe Liyanage</cp:lastModifiedBy>
  <cp:revision>5</cp:revision>
  <dcterms:created xsi:type="dcterms:W3CDTF">2026-07-24T12:01:00Z</dcterms:created>
  <dcterms:modified xsi:type="dcterms:W3CDTF">2026-07-24T13:18:00Z</dcterms:modified>
</cp:coreProperties>
</file>