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BEDBC" w14:textId="77777777" w:rsidR="00405354" w:rsidRDefault="00405354" w:rsidP="000F79AB">
      <w:pPr>
        <w:jc w:val="center"/>
        <w:rPr>
          <w:b/>
          <w:bCs/>
          <w:sz w:val="28"/>
          <w:szCs w:val="28"/>
          <w:lang w:val="en-GB"/>
        </w:rPr>
      </w:pPr>
    </w:p>
    <w:p w14:paraId="02848C48" w14:textId="10FB3564" w:rsidR="000F79AB" w:rsidRPr="000F79AB" w:rsidRDefault="000F79AB" w:rsidP="000F79AB">
      <w:pPr>
        <w:jc w:val="center"/>
        <w:rPr>
          <w:b/>
          <w:bCs/>
          <w:sz w:val="28"/>
          <w:szCs w:val="28"/>
          <w:lang w:val="en-GB"/>
        </w:rPr>
      </w:pPr>
      <w:r w:rsidRPr="000F79AB">
        <w:rPr>
          <w:b/>
          <w:bCs/>
          <w:sz w:val="28"/>
          <w:szCs w:val="28"/>
          <w:lang w:val="en-GB"/>
        </w:rPr>
        <w:t xml:space="preserve">PLANS FOR UPCOMING ANALYSIS AND </w:t>
      </w:r>
      <w:r>
        <w:rPr>
          <w:b/>
          <w:bCs/>
          <w:sz w:val="28"/>
          <w:szCs w:val="28"/>
          <w:lang w:val="en-GB"/>
        </w:rPr>
        <w:br/>
      </w:r>
      <w:r w:rsidRPr="000F79AB">
        <w:rPr>
          <w:b/>
          <w:bCs/>
          <w:sz w:val="28"/>
          <w:szCs w:val="28"/>
          <w:lang w:val="en-GB"/>
        </w:rPr>
        <w:t>IMPROVING PREVIOUS ANALYSIS</w:t>
      </w:r>
    </w:p>
    <w:p w14:paraId="057607C6" w14:textId="77777777" w:rsidR="000F79AB" w:rsidRPr="000F79AB" w:rsidRDefault="000F79AB" w:rsidP="000129D6">
      <w:pPr>
        <w:rPr>
          <w:sz w:val="28"/>
          <w:szCs w:val="28"/>
          <w:lang w:val="en-GB"/>
        </w:rPr>
      </w:pPr>
    </w:p>
    <w:p w14:paraId="603A5065" w14:textId="75D3D5E9" w:rsidR="000129D6" w:rsidRPr="000F79AB" w:rsidRDefault="000129D6" w:rsidP="000129D6">
      <w:pPr>
        <w:rPr>
          <w:b/>
          <w:bCs/>
          <w:sz w:val="24"/>
          <w:szCs w:val="24"/>
          <w:lang w:val="en-GB"/>
        </w:rPr>
      </w:pPr>
      <w:r w:rsidRPr="000F79AB">
        <w:rPr>
          <w:b/>
          <w:bCs/>
          <w:sz w:val="24"/>
          <w:szCs w:val="24"/>
          <w:lang w:val="en-GB"/>
        </w:rPr>
        <w:t>Planned Improvements for Current PCA Analysis</w:t>
      </w:r>
    </w:p>
    <w:p w14:paraId="68A616E4" w14:textId="05ACDE46" w:rsidR="000129D6" w:rsidRPr="000F79AB" w:rsidRDefault="000129D6" w:rsidP="000129D6">
      <w:pPr>
        <w:pStyle w:val="ListParagraph"/>
        <w:numPr>
          <w:ilvl w:val="0"/>
          <w:numId w:val="1"/>
        </w:numPr>
        <w:rPr>
          <w:lang w:val="en-GB"/>
        </w:rPr>
      </w:pPr>
      <w:r w:rsidRPr="000F79AB">
        <w:rPr>
          <w:lang w:val="en-GB"/>
        </w:rPr>
        <w:t>The updated list of biomarkers will be explored by looking at their correlation with FOLH1, as well as examining their individual expression patterns across different tumour conditions and pathological T stages.</w:t>
      </w:r>
      <w:r w:rsidR="002E5EAA">
        <w:rPr>
          <w:lang w:val="en-GB"/>
        </w:rPr>
        <w:t xml:space="preserve"> Survival study based of these biomarkers can also be done.</w:t>
      </w:r>
    </w:p>
    <w:p w14:paraId="698D4E6A" w14:textId="121A4531" w:rsidR="000129D6" w:rsidRDefault="000129D6" w:rsidP="000129D6">
      <w:pPr>
        <w:pStyle w:val="ListParagraph"/>
        <w:numPr>
          <w:ilvl w:val="0"/>
          <w:numId w:val="1"/>
        </w:numPr>
        <w:rPr>
          <w:lang w:val="en-GB"/>
        </w:rPr>
      </w:pPr>
      <w:r w:rsidRPr="000F79AB">
        <w:rPr>
          <w:lang w:val="en-GB"/>
        </w:rPr>
        <w:t>Kaplan–Meier survival plots will be updated to follow standard figure guidelines, including consistent axis scaling, colour schemes, and the addition of statistical values (e.g., p-values). Additional survival analyses will also be carried out for each biomarker.</w:t>
      </w:r>
    </w:p>
    <w:p w14:paraId="14DD3348" w14:textId="45222DED" w:rsidR="00AE2EA6" w:rsidRPr="00AE2EA6" w:rsidRDefault="00AE2EA6" w:rsidP="00AE2EA6">
      <w:pPr>
        <w:pStyle w:val="ListParagraph"/>
        <w:numPr>
          <w:ilvl w:val="0"/>
          <w:numId w:val="1"/>
        </w:numPr>
        <w:rPr>
          <w:lang w:val="en-GB"/>
        </w:rPr>
      </w:pPr>
      <w:r w:rsidRPr="000F79AB">
        <w:rPr>
          <w:lang w:val="en-GB"/>
        </w:rPr>
        <w:t>Additional cohorts beyond TCGA and MSKCC2010 will be considered, especially those with a sufficient number of metastatic samples. Within metastatic cases, patients will be grouped based on metastatic site to account for potential site-specific differences</w:t>
      </w:r>
      <w:r w:rsidR="009802EF">
        <w:rPr>
          <w:lang w:val="en-GB"/>
        </w:rPr>
        <w:t>, since Felicia highlighted its importance.</w:t>
      </w:r>
    </w:p>
    <w:p w14:paraId="1EC97D2F" w14:textId="32D4C2B1" w:rsidR="000129D6" w:rsidRPr="000F79AB" w:rsidRDefault="000129D6" w:rsidP="000129D6">
      <w:pPr>
        <w:pStyle w:val="ListParagraph"/>
        <w:numPr>
          <w:ilvl w:val="0"/>
          <w:numId w:val="1"/>
        </w:numPr>
        <w:rPr>
          <w:lang w:val="en-GB"/>
        </w:rPr>
      </w:pPr>
      <w:r w:rsidRPr="000F79AB">
        <w:rPr>
          <w:lang w:val="en-GB"/>
        </w:rPr>
        <w:t>All plots will be revised to include relevant statistical measures (e.g., p-values, correlation coefficients) along with clear figure legends.</w:t>
      </w:r>
    </w:p>
    <w:p w14:paraId="32D4423A" w14:textId="4FA1858B" w:rsidR="000129D6" w:rsidRPr="000F79AB" w:rsidRDefault="000129D6" w:rsidP="000129D6">
      <w:pPr>
        <w:pStyle w:val="ListParagraph"/>
        <w:numPr>
          <w:ilvl w:val="0"/>
          <w:numId w:val="1"/>
        </w:numPr>
        <w:rPr>
          <w:lang w:val="en-GB"/>
        </w:rPr>
      </w:pPr>
      <w:r w:rsidRPr="000F79AB">
        <w:rPr>
          <w:lang w:val="en-GB"/>
        </w:rPr>
        <w:t xml:space="preserve">Androgen receptor (AR) subtype patterns (e.g., AR-α, AR-β) will also be explored, using available clinical data or expression profiles </w:t>
      </w:r>
      <w:r w:rsidR="009802EF">
        <w:rPr>
          <w:lang w:val="en-GB"/>
        </w:rPr>
        <w:t>if</w:t>
      </w:r>
      <w:r w:rsidRPr="000F79AB">
        <w:rPr>
          <w:lang w:val="en-GB"/>
        </w:rPr>
        <w:t xml:space="preserve"> possible.</w:t>
      </w:r>
    </w:p>
    <w:p w14:paraId="13FD6FDC" w14:textId="77777777" w:rsidR="000129D6" w:rsidRPr="000F79AB" w:rsidRDefault="000129D6" w:rsidP="000129D6">
      <w:pPr>
        <w:rPr>
          <w:b/>
          <w:bCs/>
          <w:sz w:val="24"/>
          <w:szCs w:val="24"/>
          <w:lang w:val="en-GB"/>
        </w:rPr>
      </w:pPr>
    </w:p>
    <w:p w14:paraId="5E8EB18A" w14:textId="7944D47A" w:rsidR="000129D6" w:rsidRPr="000F79AB" w:rsidRDefault="000129D6" w:rsidP="000129D6">
      <w:pPr>
        <w:rPr>
          <w:b/>
          <w:bCs/>
          <w:sz w:val="24"/>
          <w:szCs w:val="24"/>
          <w:lang w:val="en-GB"/>
        </w:rPr>
      </w:pPr>
      <w:r w:rsidRPr="000F79AB">
        <w:rPr>
          <w:b/>
          <w:bCs/>
          <w:sz w:val="24"/>
          <w:szCs w:val="24"/>
          <w:lang w:val="en-GB"/>
        </w:rPr>
        <w:t>Plan for Bioinformatics Analysis of Generated Data</w:t>
      </w:r>
    </w:p>
    <w:p w14:paraId="15DB293C" w14:textId="273DD6D8" w:rsidR="000129D6" w:rsidRPr="000F79AB" w:rsidRDefault="000129D6" w:rsidP="000129D6">
      <w:pPr>
        <w:pStyle w:val="ListParagraph"/>
        <w:numPr>
          <w:ilvl w:val="0"/>
          <w:numId w:val="2"/>
        </w:numPr>
        <w:rPr>
          <w:lang w:val="en-GB"/>
        </w:rPr>
      </w:pPr>
      <w:r w:rsidRPr="000F79AB">
        <w:rPr>
          <w:lang w:val="en-GB"/>
        </w:rPr>
        <w:t>Raw sequencing data (FASTA files) will be aligned using the Galaxy platform.</w:t>
      </w:r>
    </w:p>
    <w:p w14:paraId="3AD86799" w14:textId="1F72DDDB" w:rsidR="000129D6" w:rsidRPr="000F79AB" w:rsidRDefault="000129D6" w:rsidP="000129D6">
      <w:pPr>
        <w:pStyle w:val="ListParagraph"/>
        <w:numPr>
          <w:ilvl w:val="0"/>
          <w:numId w:val="2"/>
        </w:numPr>
        <w:rPr>
          <w:lang w:val="en-GB"/>
        </w:rPr>
      </w:pPr>
      <w:r w:rsidRPr="000F79AB">
        <w:rPr>
          <w:lang w:val="en-GB"/>
        </w:rPr>
        <w:t xml:space="preserve">After alignment, expression data will be </w:t>
      </w:r>
      <w:r w:rsidRPr="000F79AB">
        <w:rPr>
          <w:lang w:val="en-GB"/>
        </w:rPr>
        <w:t>analysed</w:t>
      </w:r>
      <w:r w:rsidRPr="000F79AB">
        <w:rPr>
          <w:lang w:val="en-GB"/>
        </w:rPr>
        <w:t xml:space="preserve"> using principal component analysis (PCA) and clustering based on Euclidean distances of rlog-transformed counts.</w:t>
      </w:r>
    </w:p>
    <w:p w14:paraId="16A8B5C6" w14:textId="503333F3" w:rsidR="000129D6" w:rsidRPr="000F79AB" w:rsidRDefault="000129D6" w:rsidP="000129D6">
      <w:pPr>
        <w:pStyle w:val="ListParagraph"/>
        <w:numPr>
          <w:ilvl w:val="0"/>
          <w:numId w:val="2"/>
        </w:numPr>
        <w:rPr>
          <w:lang w:val="en-GB"/>
        </w:rPr>
      </w:pPr>
      <w:r w:rsidRPr="000F79AB">
        <w:rPr>
          <w:lang w:val="en-GB"/>
        </w:rPr>
        <w:t>Heatmaps will be generated for significantly differentially expressed genes, as well as for the top 50 DEGs.</w:t>
      </w:r>
    </w:p>
    <w:p w14:paraId="11509BC2" w14:textId="615220DA" w:rsidR="006C7918" w:rsidRPr="000F79AB" w:rsidRDefault="000129D6" w:rsidP="000129D6">
      <w:pPr>
        <w:pStyle w:val="ListParagraph"/>
        <w:numPr>
          <w:ilvl w:val="0"/>
          <w:numId w:val="2"/>
        </w:numPr>
        <w:rPr>
          <w:sz w:val="20"/>
          <w:szCs w:val="20"/>
          <w:lang w:val="en-SE"/>
        </w:rPr>
      </w:pPr>
      <w:r w:rsidRPr="000F79AB">
        <w:rPr>
          <w:lang w:val="en-GB"/>
        </w:rPr>
        <w:t>Pathway enrichment analysis will be performed to compare wild-type and knockout groups. This will include over-representation analysis (ORA) and gene set enrichment analysis (GSEA) using ImmuneSigDB and Hallmark gene sets.</w:t>
      </w:r>
    </w:p>
    <w:sectPr w:rsidR="006C7918" w:rsidRPr="000F79A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0C034" w14:textId="77777777" w:rsidR="000F79AB" w:rsidRDefault="000F79AB" w:rsidP="000F79AB">
      <w:pPr>
        <w:spacing w:after="0" w:line="240" w:lineRule="auto"/>
      </w:pPr>
      <w:r>
        <w:separator/>
      </w:r>
    </w:p>
  </w:endnote>
  <w:endnote w:type="continuationSeparator" w:id="0">
    <w:p w14:paraId="367ACF37" w14:textId="77777777" w:rsidR="000F79AB" w:rsidRDefault="000F79AB" w:rsidP="000F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A1793" w14:textId="77777777" w:rsidR="000F79AB" w:rsidRDefault="000F79AB" w:rsidP="000F79AB">
      <w:pPr>
        <w:spacing w:after="0" w:line="240" w:lineRule="auto"/>
      </w:pPr>
      <w:r>
        <w:separator/>
      </w:r>
    </w:p>
  </w:footnote>
  <w:footnote w:type="continuationSeparator" w:id="0">
    <w:p w14:paraId="430E4F90" w14:textId="77777777" w:rsidR="000F79AB" w:rsidRDefault="000F79AB" w:rsidP="000F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27DB" w14:textId="50C379A9" w:rsidR="000F79AB" w:rsidRDefault="000F79AB">
    <w:pPr>
      <w:pStyle w:val="Header"/>
      <w:rPr>
        <w:lang w:val="en-GB"/>
      </w:rPr>
    </w:pPr>
    <w:r>
      <w:rPr>
        <w:lang w:val="en-GB"/>
      </w:rPr>
      <w:t>Ravindu Liyanage</w:t>
    </w:r>
    <w:r w:rsidR="002E5EAA">
      <w:rPr>
        <w:lang w:val="en-GB"/>
      </w:rPr>
      <w:tab/>
    </w:r>
    <w:r w:rsidR="002E5EAA">
      <w:rPr>
        <w:lang w:val="en-GB"/>
      </w:rPr>
      <w:tab/>
      <w:t>July 8</w:t>
    </w:r>
  </w:p>
  <w:p w14:paraId="761F27B3" w14:textId="77777777" w:rsidR="002E5EAA" w:rsidRDefault="002E5EAA">
    <w:pPr>
      <w:pStyle w:val="Header"/>
      <w:rPr>
        <w:lang w:val="en-GB"/>
      </w:rPr>
    </w:pPr>
  </w:p>
  <w:p w14:paraId="2E83BE84" w14:textId="77777777" w:rsidR="000F79AB" w:rsidRPr="000F79AB" w:rsidRDefault="000F79AB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4E8B"/>
    <w:multiLevelType w:val="hybridMultilevel"/>
    <w:tmpl w:val="CB365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A1F8C"/>
    <w:multiLevelType w:val="hybridMultilevel"/>
    <w:tmpl w:val="FD7650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18"/>
    <w:rsid w:val="000129D6"/>
    <w:rsid w:val="000F79AB"/>
    <w:rsid w:val="002E5EAA"/>
    <w:rsid w:val="003564FD"/>
    <w:rsid w:val="0036203E"/>
    <w:rsid w:val="00405354"/>
    <w:rsid w:val="0068570F"/>
    <w:rsid w:val="006C7918"/>
    <w:rsid w:val="009802EF"/>
    <w:rsid w:val="00AA3211"/>
    <w:rsid w:val="00AE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9C2CC"/>
  <w15:chartTrackingRefBased/>
  <w15:docId w15:val="{86FB90AB-F841-4E64-A6B2-0EBDF415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AB"/>
  </w:style>
  <w:style w:type="paragraph" w:styleId="Footer">
    <w:name w:val="footer"/>
    <w:basedOn w:val="Normal"/>
    <w:link w:val="FooterChar"/>
    <w:uiPriority w:val="99"/>
    <w:unhideWhenUsed/>
    <w:rsid w:val="000F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9</cp:revision>
  <dcterms:created xsi:type="dcterms:W3CDTF">2026-07-09T08:19:00Z</dcterms:created>
  <dcterms:modified xsi:type="dcterms:W3CDTF">2026-07-09T09:03:00Z</dcterms:modified>
</cp:coreProperties>
</file>