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300"/>
        <w:jc w:val="center"/>
      </w:pPr>
      <w:r>
        <w:rPr>
          <w:b/>
          <w:bCs/>
          <w:color w:val="C55A11"/>
          <w:sz w:val="26"/>
          <w:szCs w:val="26"/>
        </w:rPr>
        <w:t xml:space="preserve">PROJECT MANAGEMENT PLAN</w:t>
      </w:r>
    </w:p>
    <w:p>
      <w:pPr>
        <w:spacing w:after="40"/>
        <w:jc w:val="center"/>
      </w:pPr>
      <w:r>
        <w:rPr>
          <w:color w:val="2E5496"/>
          <w:sz w:val="20"/>
          <w:szCs w:val="20"/>
        </w:rPr>
        <w:t xml:space="preserve">Division of Work · Sub-Issues · Milestones</w:t>
      </w:r>
    </w:p>
    <w:p>
      <w:pPr>
        <w:pBdr>
          <w:bottom w:val="single" w:color="1F3864" w:sz="12" w:space="8"/>
        </w:pBdr>
        <w:spacing w:after="340"/>
        <w:jc w:val="center"/>
      </w:pPr>
    </w:p>
    <w:p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 xml:space="preserve">Trustworthy Deep Learning for Chest X-ray Disease Detection</w:t>
      </w:r>
    </w:p>
    <w:p>
      <w:pPr>
        <w:spacing w:after="400"/>
        <w:jc w:val="center"/>
      </w:pPr>
      <w:r>
        <w:rPr>
          <w:i/>
          <w:iCs/>
          <w:color w:val="404040"/>
          <w:sz w:val="21"/>
          <w:szCs w:val="21"/>
        </w:rPr>
        <w:t xml:space="preserve">5-Member Work Breakdown Structure — everyone hands-on across the full data-science &amp; DNN process</w:t>
      </w:r>
    </w:p>
    <w:tbl>
      <w:tblPr>
        <w:tblW w:type="dxa" w:w="9360"/>
        <w:tblBorders>
          <w:top w:val="single" w:color="C55A11" w:sz="6"/>
          <w:left w:val="single" w:color="C55A11" w:sz="18"/>
          <w:bottom w:val="single" w:color="C55A11" w:sz="6"/>
          <w:right w:val="single" w:color="C55A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DE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The organising principle</w:t>
            </w:r>
          </w:p>
          <w:p>
            <w:pPr>
              <w:spacing w:after="40"/>
            </w:pPr>
            <w:r>
              <w:rPr>
                <w:color w:val="5A3A20"/>
                <w:sz w:val="20"/>
                <w:szCs w:val="20"/>
              </w:rPr>
              <w:t xml:space="preserve">Every member owns ONE deep-learning model end-to-end — not just 'a job'. Each model owner personally runs the full DNN workflow on their model: data → train (frozen + fine-tune) → calibrate → explain → robustness test → efficiency benchmark.</w:t>
            </w:r>
          </w:p>
          <w:p>
            <w:pPr>
              <w:spacing w:after="40"/>
            </w:pPr>
            <w:r>
              <w:rPr>
                <w:color w:val="5A3A20"/>
                <w:sz w:val="20"/>
                <w:szCs w:val="20"/>
              </w:rPr>
              <w:t xml:space="preserve">The three CNNs are split across three members; the Vision Transformer goes to a fourth; the fifth trains the U-Net segmentation model and owns evaluation. So all five are in the DNN process.</w:t>
            </w:r>
          </w:p>
          <w:p>
            <w:pPr>
              <w:spacing w:after="40"/>
            </w:pPr>
            <w:r>
              <w:rPr>
                <w:color w:val="5A3A20"/>
                <w:sz w:val="20"/>
                <w:szCs w:val="20"/>
              </w:rPr>
              <w:t xml:space="preserve">Everyone ALSO owns one shared 'standard' (data / efficiency / explainability / calibration+robustness / reproducibility) so all results are directly comparable, plus paper sections.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1. How to Use This Plan</w:t>
      </w:r>
    </w:p>
    <w:p>
      <w:pPr>
        <w:spacing w:after="120" w:line="276"/>
        <w:jc w:val="both"/>
      </w:pPr>
      <w:r>
        <w:rPr>
          <w:color w:val="404040"/>
          <w:sz w:val="21"/>
          <w:szCs w:val="21"/>
        </w:rPr>
        <w:t xml:space="preserve">This document is the human-readable management plan; the accompanying Excel workbook ('Project_Work_Breakdown_Tracker.xlsx') is the live tracker your team updates daily. Use them together: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This document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— for the team model, per-person responsibilities, milestones, dependencies and coordination rhythm. Read once at kick-off.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Excel 'Master Task List'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— single source of truth. Each task has an owner and a Status dropdown (Not started / In progress / Blocked / Done). The Dashboard tab auto-counts progress.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Excel per-member boards (M1–M5)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— each person's focused list of owned + supporting tasks.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2. Team Model at a Glance</w:t>
      </w:r>
    </w:p>
    <w:p>
      <w:pPr>
        <w:spacing w:after="120" w:line="276"/>
        <w:jc w:val="both"/>
      </w:pPr>
      <w:r>
        <w:rPr>
          <w:color w:val="404040"/>
          <w:sz w:val="21"/>
          <w:szCs w:val="21"/>
        </w:rPr>
        <w:t xml:space="preserve">The team is five people. To guarantee everyone gains real deep-learning experience, we assign models rather than phases — nobody is 'only the writer' or 'only the data person'. Writing and data work are distributed on top of a model each person trains.</w:t>
      </w:r>
    </w:p>
    <w:tbl>
      <w:tblPr>
        <w:tblW w:type="dxa" w:w="9360"/>
        <w:tblBorders>
          <w:top w:val="single" w:color="AAB4C4" w:sz="2"/>
          <w:left w:val="single" w:color="AAB4C4" w:sz="2"/>
          <w:bottom w:val="single" w:color="AAB4C4" w:sz="2"/>
          <w:right w:val="single" w:color="AAB4C4" w:sz="2"/>
          <w:insideH w:val="single" w:color="CCCCCC" w:sz="1"/>
          <w:insideV w:val="single" w:color="CCCCCC" w:sz="1"/>
        </w:tblBorders>
      </w:tblPr>
      <w:tblGrid>
        <w:gridCol w:w="620"/>
        <w:gridCol w:w="2650"/>
        <w:gridCol w:w="2100"/>
        <w:gridCol w:w="2340"/>
        <w:gridCol w:w="1650"/>
      </w:tblGrid>
      <w:tr>
        <w:trPr>
          <w:tblHeader/>
        </w:trPr>
        <w:tc>
          <w:tcPr>
            <w:tcW w:type="dxa" w:w="62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65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Member &amp; role</w:t>
            </w:r>
          </w:p>
        </w:tc>
        <w:tc>
          <w:tcPr>
            <w:tcW w:type="dxa" w:w="2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DNN model owned</w:t>
            </w:r>
          </w:p>
        </w:tc>
        <w:tc>
          <w:tcPr>
            <w:tcW w:type="dxa" w:w="234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Shared lead role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Paper sections</w:t>
            </w:r>
          </w:p>
        </w:tc>
      </w:tr>
      <w:tr>
        <w:tc>
          <w:tcPr>
            <w:tcW w:type="dxa" w:w="62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M1</w:t>
            </w:r>
          </w:p>
        </w:tc>
        <w:tc>
          <w:tcPr>
            <w:tcW w:type="dxa" w:w="265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ResNet50 &amp; Reproducibility/Lit Lead</w:t>
            </w:r>
          </w:p>
        </w:tc>
        <w:tc>
          <w:tcPr>
            <w:tcW w:type="dxa" w:w="21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ResNet50 (CNN)</w:t>
            </w:r>
          </w:p>
        </w:tc>
        <w:tc>
          <w:tcPr>
            <w:tcW w:type="dxa" w:w="234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Repo, experiment tracking, seeds, references</w:t>
            </w:r>
          </w:p>
        </w:tc>
        <w:tc>
          <w:tcPr>
            <w:tcW w:type="dxa" w:w="165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Intro, Related Work, Gap, Conclusion, Abstract</w:t>
            </w:r>
          </w:p>
        </w:tc>
      </w:tr>
      <w:tr>
        <w:tc>
          <w:tcPr>
            <w:tcW w:type="dxa" w:w="62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M2</w:t>
            </w:r>
          </w:p>
        </w:tc>
        <w:tc>
          <w:tcPr>
            <w:tcW w:type="dxa" w:w="265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DenseNet121 &amp; Data Pipeline Lead</w:t>
            </w:r>
          </w:p>
        </w:tc>
        <w:tc>
          <w:tcPr>
            <w:tcW w:type="dxa" w:w="2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DenseNet121 (CNN)</w:t>
            </w:r>
          </w:p>
        </w:tc>
        <w:tc>
          <w:tcPr>
            <w:tcW w:type="dxa" w:w="234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Preprocessing, augmentation, split, dataloaders</w:t>
            </w:r>
          </w:p>
        </w:tc>
        <w:tc>
          <w:tcPr>
            <w:tcW w:type="dxa" w:w="165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Methodology</w:t>
            </w:r>
          </w:p>
        </w:tc>
      </w:tr>
      <w:tr>
        <w:tc>
          <w:tcPr>
            <w:tcW w:type="dxa" w:w="62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M3</w:t>
            </w:r>
          </w:p>
        </w:tc>
        <w:tc>
          <w:tcPr>
            <w:tcW w:type="dxa" w:w="265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EfficientNet-B0 &amp; Efficiency Lead</w:t>
            </w:r>
          </w:p>
        </w:tc>
        <w:tc>
          <w:tcPr>
            <w:tcW w:type="dxa" w:w="21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EfficientNet-B0 (CNN)</w:t>
            </w:r>
          </w:p>
        </w:tc>
        <w:tc>
          <w:tcPr>
            <w:tcW w:type="dxa" w:w="234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Efficiency harness, Pareto, compute setup</w:t>
            </w:r>
          </w:p>
        </w:tc>
        <w:tc>
          <w:tcPr>
            <w:tcW w:type="dxa" w:w="165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Slides</w:t>
            </w:r>
          </w:p>
        </w:tc>
      </w:tr>
      <w:tr>
        <w:tc>
          <w:tcPr>
            <w:tcW w:type="dxa" w:w="62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M4</w:t>
            </w:r>
          </w:p>
        </w:tc>
        <w:tc>
          <w:tcPr>
            <w:tcW w:type="dxa" w:w="265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ViT-Base &amp; Explainability Lead</w:t>
            </w:r>
          </w:p>
        </w:tc>
        <w:tc>
          <w:tcPr>
            <w:tcW w:type="dxa" w:w="2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ViT-Base (Transformer)</w:t>
            </w:r>
          </w:p>
        </w:tc>
        <w:tc>
          <w:tcPr>
            <w:tcW w:type="dxa" w:w="234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XAI standard + faithfulness score, figures</w:t>
            </w:r>
          </w:p>
        </w:tc>
        <w:tc>
          <w:tcPr>
            <w:tcW w:type="dxa" w:w="165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Discussion</w:t>
            </w:r>
          </w:p>
        </w:tc>
      </w:tr>
      <w:tr>
        <w:tc>
          <w:tcPr>
            <w:tcW w:type="dxa" w:w="62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M5</w:t>
            </w:r>
          </w:p>
        </w:tc>
        <w:tc>
          <w:tcPr>
            <w:tcW w:type="dxa" w:w="265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Segmentation/Eval &amp; Paper Lead</w:t>
            </w:r>
          </w:p>
        </w:tc>
        <w:tc>
          <w:tcPr>
            <w:tcW w:type="dxa" w:w="21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U-Net lung segmentation</w:t>
            </w:r>
          </w:p>
        </w:tc>
        <w:tc>
          <w:tcPr>
            <w:tcW w:type="dxa" w:w="234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Calibration + robustness protocol, external data, stats</w:t>
            </w:r>
          </w:p>
        </w:tc>
        <w:tc>
          <w:tcPr>
            <w:tcW w:type="dxa" w:w="165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Results, final assembly</w:t>
            </w:r>
          </w:p>
        </w:tc>
      </w:tr>
    </w:tbl>
    <w:p>
      <w:pPr>
        <w:spacing w:after="120" w:line="276"/>
        <w:jc w:val="both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Why this split works.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The 3 CNNs go to M1/M2/M3 (your requirement), the Transformer to M4, and M5 trains a U-Net — so all five train a neural network. Each classification-model owner then re-uses shared standard modules (built by the leads) to run calibration, explainability, robustness and efficiency on their own model, giving each person the complete end-to-end DNN experience while keeping every result comparable.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3. Main Milestones &amp; Gates</w:t>
      </w:r>
    </w:p>
    <w:p>
      <w:pPr>
        <w:spacing w:after="120" w:line="276"/>
        <w:jc w:val="both"/>
      </w:pPr>
      <w:r>
        <w:rPr>
          <w:color w:val="404040"/>
          <w:sz w:val="21"/>
          <w:szCs w:val="21"/>
        </w:rPr>
        <w:t xml:space="preserve">Five gates structure the month. A gate must be signed off before dependent work proceeds — this prevents the classic failure of racing ahead on an unfair or broken pipeline.</w:t>
      </w:r>
    </w:p>
    <w:tbl>
      <w:tblPr>
        <w:tblW w:type="dxa" w:w="9360"/>
        <w:tblBorders>
          <w:top w:val="single" w:color="AAB4C4" w:sz="2"/>
          <w:left w:val="single" w:color="AAB4C4" w:sz="2"/>
          <w:bottom w:val="single" w:color="AAB4C4" w:sz="2"/>
          <w:right w:val="single" w:color="AAB4C4" w:sz="2"/>
          <w:insideH w:val="single" w:color="CCCCCC" w:sz="1"/>
          <w:insideV w:val="single" w:color="CCCCCC" w:sz="1"/>
        </w:tblBorders>
      </w:tblPr>
      <w:tblGrid>
        <w:gridCol w:w="560"/>
        <w:gridCol w:w="760"/>
        <w:gridCol w:w="1700"/>
        <w:gridCol w:w="4640"/>
        <w:gridCol w:w="1700"/>
      </w:tblGrid>
      <w:tr>
        <w:trPr>
          <w:tblHeader/>
        </w:trPr>
        <w:tc>
          <w:tcPr>
            <w:tcW w:type="dxa" w:w="56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6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64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Must be true to pass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Sign-off</w:t>
            </w:r>
          </w:p>
        </w:tc>
      </w:tr>
      <w:tr>
        <w:tc>
          <w:tcPr>
            <w:tcW w:type="dxa" w:w="56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M0</w:t>
            </w:r>
          </w:p>
        </w:tc>
        <w:tc>
          <w:tcPr>
            <w:tcW w:type="dxa" w:w="76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End W1</w:t>
            </w:r>
          </w:p>
        </w:tc>
        <w:tc>
          <w:tcPr>
            <w:tcW w:type="dxa" w:w="17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Foundations Ready</w:t>
            </w:r>
          </w:p>
        </w:tc>
        <w:tc>
          <w:tcPr>
            <w:tcW w:type="dxa" w:w="464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Shared data pipeline frozen &amp; reproducible; baseline (DenseNet121) trains end-to-end; external data prepared; lit-review drafted.</w:t>
            </w:r>
          </w:p>
        </w:tc>
        <w:tc>
          <w:tcPr>
            <w:tcW w:type="dxa" w:w="17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M2 / M1</w:t>
            </w:r>
          </w:p>
        </w:tc>
      </w:tr>
      <w:tr>
        <w:tc>
          <w:tcPr>
            <w:tcW w:type="dxa" w:w="56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M1</w:t>
            </w:r>
          </w:p>
        </w:tc>
        <w:tc>
          <w:tcPr>
            <w:tcW w:type="dxa" w:w="76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End W2</w:t>
            </w:r>
          </w:p>
        </w:tc>
        <w:tc>
          <w:tcPr>
            <w:tcW w:type="dxa" w:w="17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All Models Trained</w:t>
            </w:r>
          </w:p>
        </w:tc>
        <w:tc>
          <w:tcPr>
            <w:tcW w:type="dxa" w:w="464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All 4 classification models trained (frozen + fine-tuned) with accuracy tables; U-Net segmentation ready.</w:t>
            </w:r>
          </w:p>
        </w:tc>
        <w:tc>
          <w:tcPr>
            <w:tcW w:type="dxa" w:w="17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Owners / M5</w:t>
            </w:r>
          </w:p>
        </w:tc>
      </w:tr>
      <w:tr>
        <w:tc>
          <w:tcPr>
            <w:tcW w:type="dxa" w:w="56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M2</w:t>
            </w:r>
          </w:p>
        </w:tc>
        <w:tc>
          <w:tcPr>
            <w:tcW w:type="dxa" w:w="76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Mid W3</w:t>
            </w:r>
          </w:p>
        </w:tc>
        <w:tc>
          <w:tcPr>
            <w:tcW w:type="dxa" w:w="17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Trust Experiments Done</w:t>
            </w:r>
          </w:p>
        </w:tc>
        <w:tc>
          <w:tcPr>
            <w:tcW w:type="dxa" w:w="464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Calibration + explainability + faithfulness complete for all 4 models.</w:t>
            </w:r>
          </w:p>
        </w:tc>
        <w:tc>
          <w:tcPr>
            <w:tcW w:type="dxa" w:w="17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M4 / M5</w:t>
            </w:r>
          </w:p>
        </w:tc>
      </w:tr>
      <w:tr>
        <w:tc>
          <w:tcPr>
            <w:tcW w:type="dxa" w:w="56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M3</w:t>
            </w:r>
          </w:p>
        </w:tc>
        <w:tc>
          <w:tcPr>
            <w:tcW w:type="dxa" w:w="76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End W3</w:t>
            </w:r>
          </w:p>
        </w:tc>
        <w:tc>
          <w:tcPr>
            <w:tcW w:type="dxa" w:w="17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Robustness &amp; Efficiency Done</w:t>
            </w:r>
          </w:p>
        </w:tc>
        <w:tc>
          <w:tcPr>
            <w:tcW w:type="dxa" w:w="464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External OOD test + efficiency benchmark for all models; segmentation-ablation done.</w:t>
            </w:r>
          </w:p>
        </w:tc>
        <w:tc>
          <w:tcPr>
            <w:tcW w:type="dxa" w:w="17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M5 / M3</w:t>
            </w:r>
          </w:p>
        </w:tc>
      </w:tr>
      <w:tr>
        <w:tc>
          <w:tcPr>
            <w:tcW w:type="dxa" w:w="56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M4</w:t>
            </w:r>
          </w:p>
        </w:tc>
        <w:tc>
          <w:tcPr>
            <w:tcW w:type="dxa" w:w="76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End W4</w:t>
            </w:r>
          </w:p>
        </w:tc>
        <w:tc>
          <w:tcPr>
            <w:tcW w:type="dxa" w:w="17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Camera-Ready</w:t>
            </w:r>
          </w:p>
        </w:tc>
        <w:tc>
          <w:tcPr>
            <w:tcW w:type="dxa" w:w="464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Consolidated analysis, Pareto, full paper draft, slides; reproducibility rerun passes.</w:t>
            </w:r>
          </w:p>
        </w:tc>
        <w:tc>
          <w:tcPr>
            <w:tcW w:type="dxa" w:w="17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M1 / M5</w:t>
            </w:r>
          </w:p>
        </w:tc>
      </w:tr>
    </w:tbl>
    <w:tbl>
      <w:tblPr>
        <w:tblW w:type="dxa" w:w="9360"/>
        <w:tblBorders>
          <w:top w:val="single" w:color="C55A11" w:sz="6"/>
          <w:left w:val="single" w:color="C55A11" w:sz="18"/>
          <w:bottom w:val="single" w:color="C55A11" w:sz="6"/>
          <w:right w:val="single" w:color="C55A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DE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The single rule that protects the whole project</w:t>
            </w:r>
          </w:p>
          <w:p>
            <w:pPr>
              <w:spacing w:after="40"/>
            </w:pPr>
            <w:r>
              <w:rPr>
                <w:color w:val="5A3A20"/>
                <w:sz w:val="20"/>
                <w:szCs w:val="20"/>
              </w:rPr>
              <w:t xml:space="preserve">Freeze one identical training + preprocessing pipeline at Gate M0 and make every model use it. If models are tuned differently the comparison is not publishable — fairness is the entire point of the study.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4. Weekly Cadence (who does what, each week)</w:t>
      </w:r>
    </w:p>
    <w:tbl>
      <w:tblPr>
        <w:tblW w:type="dxa" w:w="9360"/>
        <w:tblBorders>
          <w:top w:val="single" w:color="AAB4C4" w:sz="2"/>
          <w:left w:val="single" w:color="AAB4C4" w:sz="2"/>
          <w:bottom w:val="single" w:color="AAB4C4" w:sz="2"/>
          <w:right w:val="single" w:color="AAB4C4" w:sz="2"/>
          <w:insideH w:val="single" w:color="CCCCCC" w:sz="1"/>
          <w:insideV w:val="single" w:color="CCCCCC" w:sz="1"/>
        </w:tblBorders>
      </w:tblPr>
      <w:tblGrid>
        <w:gridCol w:w="820"/>
        <w:gridCol w:w="2135"/>
        <w:gridCol w:w="2135"/>
        <w:gridCol w:w="2135"/>
        <w:gridCol w:w="2135"/>
      </w:tblGrid>
      <w:tr>
        <w:trPr>
          <w:tblHeader/>
        </w:trPr>
        <w:tc>
          <w:tcPr>
            <w:tcW w:type="dxa" w:w="82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2135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1</w:t>
            </w:r>
          </w:p>
        </w:tc>
        <w:tc>
          <w:tcPr>
            <w:tcW w:type="dxa" w:w="2135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</w:t>
            </w:r>
          </w:p>
        </w:tc>
        <w:tc>
          <w:tcPr>
            <w:tcW w:type="dxa" w:w="2135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3</w:t>
            </w:r>
          </w:p>
        </w:tc>
        <w:tc>
          <w:tcPr>
            <w:tcW w:type="dxa" w:w="2135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82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M1</w:t>
            </w:r>
          </w:p>
        </w:tc>
        <w:tc>
          <w:tcPr>
            <w:tcW w:type="dxa" w:w="2135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Repo, tracking, seeds; start lit review</w:t>
            </w:r>
          </w:p>
        </w:tc>
        <w:tc>
          <w:tcPr>
            <w:tcW w:type="dxa" w:w="2135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Train ResNet50 (frozen+FT)</w:t>
            </w:r>
          </w:p>
        </w:tc>
        <w:tc>
          <w:tcPr>
            <w:tcW w:type="dxa" w:w="2135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ResNet50 calibration, XAI, external test</w:t>
            </w:r>
          </w:p>
        </w:tc>
        <w:tc>
          <w:tcPr>
            <w:tcW w:type="dxa" w:w="2135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Consolidate w/ M5; Intro/Conclusion/Abstract</w:t>
            </w:r>
          </w:p>
        </w:tc>
      </w:tr>
      <w:tr>
        <w:tc>
          <w:tcPr>
            <w:tcW w:type="dxa" w:w="82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M2</w:t>
            </w:r>
          </w:p>
        </w:tc>
        <w:tc>
          <w:tcPr>
            <w:tcW w:type="dxa" w:w="2135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Build shared data pipeline; baseline gate</w:t>
            </w:r>
          </w:p>
        </w:tc>
        <w:tc>
          <w:tcPr>
            <w:tcW w:type="dxa" w:w="2135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Train DenseNet121; support seg data</w:t>
            </w:r>
          </w:p>
        </w:tc>
        <w:tc>
          <w:tcPr>
            <w:tcW w:type="dxa" w:w="2135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DenseNet calibration, XAI, external test</w:t>
            </w:r>
          </w:p>
        </w:tc>
        <w:tc>
          <w:tcPr>
            <w:tcW w:type="dxa" w:w="2135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Methodology section</w:t>
            </w:r>
          </w:p>
        </w:tc>
      </w:tr>
      <w:tr>
        <w:tc>
          <w:tcPr>
            <w:tcW w:type="dxa" w:w="82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M3</w:t>
            </w:r>
          </w:p>
        </w:tc>
        <w:tc>
          <w:tcPr>
            <w:tcW w:type="dxa" w:w="2135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Compute setup; env pinning</w:t>
            </w:r>
          </w:p>
        </w:tc>
        <w:tc>
          <w:tcPr>
            <w:tcW w:type="dxa" w:w="2135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Train EfficientNet-B0</w:t>
            </w:r>
          </w:p>
        </w:tc>
        <w:tc>
          <w:tcPr>
            <w:tcW w:type="dxa" w:w="2135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EffNet calibration/XAI/OOD; efficiency harness + benchmark</w:t>
            </w:r>
          </w:p>
        </w:tc>
        <w:tc>
          <w:tcPr>
            <w:tcW w:type="dxa" w:w="2135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Pareto analysis; slides</w:t>
            </w:r>
          </w:p>
        </w:tc>
      </w:tr>
      <w:tr>
        <w:tc>
          <w:tcPr>
            <w:tcW w:type="dxa" w:w="82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M4</w:t>
            </w:r>
          </w:p>
        </w:tc>
        <w:tc>
          <w:tcPr>
            <w:tcW w:type="dxa" w:w="2135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Scope XAI standard</w:t>
            </w:r>
          </w:p>
        </w:tc>
        <w:tc>
          <w:tcPr>
            <w:tcW w:type="dxa" w:w="2135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Train ViT-Base</w:t>
            </w:r>
          </w:p>
        </w:tc>
        <w:tc>
          <w:tcPr>
            <w:tcW w:type="dxa" w:w="2135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Build XAI module; ViT calibration/rollout; all faithfulness</w:t>
            </w:r>
          </w:p>
        </w:tc>
        <w:tc>
          <w:tcPr>
            <w:tcW w:type="dxa" w:w="2135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Figures; Discussion</w:t>
            </w:r>
          </w:p>
        </w:tc>
      </w:tr>
      <w:tr>
        <w:tc>
          <w:tcPr>
            <w:tcW w:type="dxa" w:w="82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M5</w:t>
            </w:r>
          </w:p>
        </w:tc>
        <w:tc>
          <w:tcPr>
            <w:tcW w:type="dxa" w:w="2135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Shared config; external data; train template</w:t>
            </w:r>
          </w:p>
        </w:tc>
        <w:tc>
          <w:tcPr>
            <w:tcW w:type="dxa" w:w="2135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Train U-Net; masks; calibration standard</w:t>
            </w:r>
          </w:p>
        </w:tc>
        <w:tc>
          <w:tcPr>
            <w:tcW w:type="dxa" w:w="2135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Robustness protocol; segmentation ablation; run all OOD</w:t>
            </w:r>
          </w:p>
        </w:tc>
        <w:tc>
          <w:tcPr>
            <w:tcW w:type="dxa" w:w="2135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Results; stats; reproducibility rerun; assembly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5. Per-Person Breakdown (sub-issues)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Member 1 — ResNet50 &amp; Reproducibility / Literature Lead</w:t>
      </w:r>
    </w:p>
    <w:tbl>
      <w:tblPr>
        <w:tblW w:type="dxa" w:w="9360"/>
        <w:tblBorders>
          <w:top w:val="single" w:color="2E5496" w:sz="4"/>
          <w:left w:val="single" w:color="2E5496" w:sz="14"/>
          <w:bottom w:val="single" w:color="2E5496" w:sz="4"/>
          <w:right w:val="single" w:color="2E5496" w:sz="4"/>
          <w:insideH w:val="single" w:color="DCE6F1" w:sz="1"/>
          <w:insideV w:val="single" w:color="DCE6F1" w:sz="1"/>
        </w:tblBorders>
      </w:tblPr>
      <w:tblGrid>
        <w:gridCol w:w="2000"/>
        <w:gridCol w:w="7360"/>
      </w:tblGrid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DNN model owned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ResNet50 (CNN)</w:t>
            </w:r>
          </w:p>
        </w:tc>
      </w:tr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Shared lead role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Repo, experiment tracking, seeds, references</w:t>
            </w:r>
          </w:p>
        </w:tc>
      </w:tr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Paper sections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Introduction, Related Work, Research Gap, Conclusion, Abstract</w:t>
            </w:r>
          </w:p>
        </w:tc>
      </w:tr>
    </w:tbl>
    <w:p>
      <w:pPr>
        <w:spacing w:after="40" w:before="100"/>
      </w:pPr>
      <w:r>
        <w:rPr>
          <w:b/>
          <w:bCs/>
          <w:color w:val="C55A11"/>
          <w:sz w:val="21"/>
          <w:szCs w:val="21"/>
        </w:rPr>
        <w:t xml:space="preserve">Sub-issues you own: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Set up GitHub repo, branch strategy and folder layout (T01).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Configure experiment tracking (W&amp;B/TensorBoard) and the fixed-seed reproducibility standard (T02).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Train ResNet50 — Phase 1 frozen, then Phase 2 fine-tune + hyperparameter tuning (T12–T13).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Run ResNet50 calibration, explainability + faithfulness, and the external OOD test (T24, T29, T34).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Write Introduction, Related Work and the Research-Gap section from Week 1; manage references in Zotero (T45, T51).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Write Conclusion + Abstract in Week 4 (T49).</w:t>
      </w:r>
    </w:p>
    <w:p>
      <w:pPr>
        <w:spacing w:after="40" w:before="60"/>
      </w:pPr>
      <w:r>
        <w:rPr>
          <w:b/>
          <w:bCs/>
          <w:color w:val="2E5496"/>
          <w:sz w:val="20"/>
          <w:szCs w:val="20"/>
        </w:rPr>
        <w:t xml:space="preserve">Also supporting: </w:t>
      </w:r>
      <w:r>
        <w:rPr>
          <w:color w:val="404040"/>
          <w:sz w:val="20"/>
          <w:szCs w:val="20"/>
        </w:rPr>
        <w:t xml:space="preserve">Repo/tracking for all members; consolidation review with M5.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Member 2 — DenseNet121 &amp; Data Pipeline Lead</w:t>
      </w:r>
    </w:p>
    <w:tbl>
      <w:tblPr>
        <w:tblW w:type="dxa" w:w="9360"/>
        <w:tblBorders>
          <w:top w:val="single" w:color="2E5496" w:sz="4"/>
          <w:left w:val="single" w:color="2E5496" w:sz="14"/>
          <w:bottom w:val="single" w:color="2E5496" w:sz="4"/>
          <w:right w:val="single" w:color="2E5496" w:sz="4"/>
          <w:insideH w:val="single" w:color="DCE6F1" w:sz="1"/>
          <w:insideV w:val="single" w:color="DCE6F1" w:sz="1"/>
        </w:tblBorders>
      </w:tblPr>
      <w:tblGrid>
        <w:gridCol w:w="2000"/>
        <w:gridCol w:w="7360"/>
      </w:tblGrid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DNN model owned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DenseNet121 (CNN)</w:t>
            </w:r>
          </w:p>
        </w:tc>
      </w:tr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Shared lead role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Preprocessing, augmentation, split, dataloaders (shared)</w:t>
            </w:r>
          </w:p>
        </w:tc>
      </w:tr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Paper sections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Methodology</w:t>
            </w:r>
          </w:p>
        </w:tc>
      </w:tr>
    </w:tbl>
    <w:p>
      <w:pPr>
        <w:spacing w:after="40" w:before="100"/>
      </w:pPr>
      <w:r>
        <w:rPr>
          <w:b/>
          <w:bCs/>
          <w:color w:val="C55A11"/>
          <w:sz w:val="21"/>
          <w:szCs w:val="21"/>
        </w:rPr>
        <w:t xml:space="preserve">Sub-issues you own: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Download the COVID-19 Radiography dataset; integrity check and class-count report (T05).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Build the shared preprocessing, augmentation, split and DataLoader modules everyone imports (T06–T09).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Run the baseline-gate model end-to-end to validate the pipeline before the team scales up (T11).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Train DenseNet121 — frozen then fine-tune + tuning (T14–T15).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Run DenseNet121 calibration, explainability + faithfulness, external OOD test (T25, T30, T35).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Own the Methodology section of the paper (T46).</w:t>
      </w:r>
    </w:p>
    <w:p>
      <w:pPr>
        <w:spacing w:after="40" w:before="60"/>
      </w:pPr>
      <w:r>
        <w:rPr>
          <w:b/>
          <w:bCs/>
          <w:color w:val="2E5496"/>
          <w:sz w:val="20"/>
          <w:szCs w:val="20"/>
        </w:rPr>
        <w:t xml:space="preserve">Also supporting: </w:t>
      </w:r>
      <w:r>
        <w:rPr>
          <w:color w:val="404040"/>
          <w:sz w:val="20"/>
          <w:szCs w:val="20"/>
        </w:rPr>
        <w:t xml:space="preserve">Segmentation data with M5; supports most Week-1 setup tasks.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Member 3 — EfficientNet-B0 &amp; Efficiency Lead</w:t>
      </w:r>
    </w:p>
    <w:tbl>
      <w:tblPr>
        <w:tblW w:type="dxa" w:w="9360"/>
        <w:tblBorders>
          <w:top w:val="single" w:color="2E5496" w:sz="4"/>
          <w:left w:val="single" w:color="2E5496" w:sz="14"/>
          <w:bottom w:val="single" w:color="2E5496" w:sz="4"/>
          <w:right w:val="single" w:color="2E5496" w:sz="4"/>
          <w:insideH w:val="single" w:color="DCE6F1" w:sz="1"/>
          <w:insideV w:val="single" w:color="DCE6F1" w:sz="1"/>
        </w:tblBorders>
      </w:tblPr>
      <w:tblGrid>
        <w:gridCol w:w="2000"/>
        <w:gridCol w:w="7360"/>
      </w:tblGrid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DNN model owned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EfficientNet-B0 (CNN)</w:t>
            </w:r>
          </w:p>
        </w:tc>
      </w:tr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Shared lead role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Efficiency benchmark harness, Pareto, compute setup</w:t>
            </w:r>
          </w:p>
        </w:tc>
      </w:tr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Paper sections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Slides</w:t>
            </w:r>
          </w:p>
        </w:tc>
      </w:tr>
    </w:tbl>
    <w:p>
      <w:pPr>
        <w:spacing w:after="40" w:before="100"/>
      </w:pPr>
      <w:r>
        <w:rPr>
          <w:b/>
          <w:bCs/>
          <w:color w:val="C55A11"/>
          <w:sz w:val="21"/>
          <w:szCs w:val="21"/>
        </w:rPr>
        <w:t xml:space="preserve">Sub-issues you own: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Set up shared compute (Colab/Kaggle GPU) and pin the environment (T03).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Train EfficientNet-B0 — frozen then fine-tune + tuning (T16–T17).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Run EfficientNet-B0 calibration, explainability + faithfulness, external OOD test (T26, T31, T36).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Build the efficiency harness (params, FLOPs, latency CPU/GPU, GPU memory) and benchmark all 4 models (T39–T40).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Lead the Pareto trade-off analysis (accuracy vs trust vs efficiency) (T43).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Build the presentation slides (T50).</w:t>
      </w:r>
    </w:p>
    <w:p>
      <w:pPr>
        <w:spacing w:after="40" w:before="60"/>
      </w:pPr>
      <w:r>
        <w:rPr>
          <w:b/>
          <w:bCs/>
          <w:color w:val="2E5496"/>
          <w:sz w:val="20"/>
          <w:szCs w:val="20"/>
        </w:rPr>
        <w:t xml:space="preserve">Also supporting: </w:t>
      </w:r>
      <w:r>
        <w:rPr>
          <w:color w:val="404040"/>
          <w:sz w:val="20"/>
          <w:szCs w:val="20"/>
        </w:rPr>
        <w:t xml:space="preserve">Preprocessing help; figures with M4.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Member 4 — ViT-Base &amp; Explainability Lead</w:t>
      </w:r>
    </w:p>
    <w:tbl>
      <w:tblPr>
        <w:tblW w:type="dxa" w:w="9360"/>
        <w:tblBorders>
          <w:top w:val="single" w:color="2E5496" w:sz="4"/>
          <w:left w:val="single" w:color="2E5496" w:sz="14"/>
          <w:bottom w:val="single" w:color="2E5496" w:sz="4"/>
          <w:right w:val="single" w:color="2E5496" w:sz="4"/>
          <w:insideH w:val="single" w:color="DCE6F1" w:sz="1"/>
          <w:insideV w:val="single" w:color="DCE6F1" w:sz="1"/>
        </w:tblBorders>
      </w:tblPr>
      <w:tblGrid>
        <w:gridCol w:w="2000"/>
        <w:gridCol w:w="7360"/>
      </w:tblGrid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DNN model owned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ViT-Base (Vision Transformer)</w:t>
            </w:r>
          </w:p>
        </w:tc>
      </w:tr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Shared lead role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XAI standard (Grad-CAM / attention rollout / SHAP / faithfulness), figures</w:t>
            </w:r>
          </w:p>
        </w:tc>
      </w:tr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Paper sections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Discussion</w:t>
            </w:r>
          </w:p>
        </w:tc>
      </w:tr>
    </w:tbl>
    <w:p>
      <w:pPr>
        <w:spacing w:after="40" w:before="100"/>
      </w:pPr>
      <w:r>
        <w:rPr>
          <w:b/>
          <w:bCs/>
          <w:color w:val="C55A11"/>
          <w:sz w:val="21"/>
          <w:szCs w:val="21"/>
        </w:rPr>
        <w:t xml:space="preserve">Sub-issues you own: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Train ViT-Base — frozen then fine-tune, with DeiT/ViT-Small fallback if unstable on the small dataset (T18–T19).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Build the shared explainability module: Grad-CAM (CNNs), attention rollout (ViT), SHAP, and the lung-localisation faithfulness score (T28).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Run ViT calibration and attention-rollout faithfulness (T27, T32).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Run ViT external OOD test (T37).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Generate all figures — learning curves, heatmaps, reliability diagrams, Pareto (T44).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Own the Discussion + model-selection guidance section (T48).</w:t>
      </w:r>
    </w:p>
    <w:p>
      <w:pPr>
        <w:spacing w:after="40" w:before="60"/>
      </w:pPr>
      <w:r>
        <w:rPr>
          <w:b/>
          <w:bCs/>
          <w:color w:val="2E5496"/>
          <w:sz w:val="20"/>
          <w:szCs w:val="20"/>
        </w:rPr>
        <w:t xml:space="preserve">Also supporting: </w:t>
      </w:r>
      <w:r>
        <w:rPr>
          <w:color w:val="404040"/>
          <w:sz w:val="20"/>
          <w:szCs w:val="20"/>
        </w:rPr>
        <w:t xml:space="preserve">Explainability standard used by every model owner; figures with M3.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Member 5 — Segmentation / Evaluation &amp; Paper Lead</w:t>
      </w:r>
    </w:p>
    <w:tbl>
      <w:tblPr>
        <w:tblW w:type="dxa" w:w="9360"/>
        <w:tblBorders>
          <w:top w:val="single" w:color="2E5496" w:sz="4"/>
          <w:left w:val="single" w:color="2E5496" w:sz="14"/>
          <w:bottom w:val="single" w:color="2E5496" w:sz="4"/>
          <w:right w:val="single" w:color="2E5496" w:sz="4"/>
          <w:insideH w:val="single" w:color="DCE6F1" w:sz="1"/>
          <w:insideV w:val="single" w:color="DCE6F1" w:sz="1"/>
        </w:tblBorders>
      </w:tblPr>
      <w:tblGrid>
        <w:gridCol w:w="2000"/>
        <w:gridCol w:w="7360"/>
      </w:tblGrid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DNN model owned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U-Net lung segmentation</w:t>
            </w:r>
          </w:p>
        </w:tc>
      </w:tr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Shared lead role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Calibration + robustness protocol, external data, statistics</w:t>
            </w:r>
          </w:p>
        </w:tc>
      </w:tr>
      <w:tr>
        <w:tc>
          <w:tcPr>
            <w:tcW w:type="dxa" w:w="2000"/>
            <w:shd w:fill="DCE6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Paper sections</w:t>
            </w:r>
          </w:p>
        </w:tc>
        <w:tc>
          <w:tcPr>
            <w:tcW w:type="dxa" w:w="7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Results, final assembly</w:t>
            </w:r>
          </w:p>
        </w:tc>
      </w:tr>
    </w:tbl>
    <w:p>
      <w:pPr>
        <w:spacing w:after="40" w:before="100"/>
      </w:pPr>
      <w:r>
        <w:rPr>
          <w:b/>
          <w:bCs/>
          <w:color w:val="C55A11"/>
          <w:sz w:val="21"/>
          <w:szCs w:val="21"/>
        </w:rPr>
        <w:t xml:space="preserve">Sub-issues you own: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Define the shared config (image size, splits, metrics schema, checkpoint format) and the training-loop template (T04, T20).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Download and convert the external RSNA set (DICOM→PNG) and map labels (T10).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Train the U-Net lung-segmentation model and generate masks for primary + external sets (T21–T22).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Build the calibration standard (ECE/Brier/reliability/temperature scaling) and the external-test/OOD protocol (T23, T33).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Run the full-image vs lung-segmented shortcut-mitigation experiment (T38).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color w:val="404040"/>
          <w:sz w:val="21"/>
          <w:szCs w:val="21"/>
        </w:rPr>
        <w:t xml:space="preserve">Consolidate all metrics, run statistical comparison, own the Results section, and lead the final reproducibility rerun and assembly (T41–T42, T47, T52).</w:t>
      </w:r>
    </w:p>
    <w:p>
      <w:pPr>
        <w:spacing w:after="40" w:before="60"/>
      </w:pPr>
      <w:r>
        <w:rPr>
          <w:b/>
          <w:bCs/>
          <w:color w:val="2E5496"/>
          <w:sz w:val="20"/>
          <w:szCs w:val="20"/>
        </w:rPr>
        <w:t xml:space="preserve">Also supporting: </w:t>
      </w:r>
      <w:r>
        <w:rPr>
          <w:color w:val="404040"/>
          <w:sz w:val="20"/>
          <w:szCs w:val="20"/>
        </w:rPr>
        <w:t xml:space="preserve">Calibration &amp; robustness standards used by every model owner; co-owns the manuscript with M1.</w:t>
      </w: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6. Shared Standards (so results stay comparable)</w:t>
      </w:r>
    </w:p>
    <w:p>
      <w:pPr>
        <w:spacing w:after="120" w:line="276"/>
        <w:jc w:val="both"/>
      </w:pPr>
      <w:r>
        <w:rPr>
          <w:color w:val="404040"/>
          <w:sz w:val="21"/>
          <w:szCs w:val="21"/>
        </w:rPr>
        <w:t xml:space="preserve">Each shared standard is built once by its lead, then used identically by every model owner. This is what turns five people's separate models into one rigorous, comparable benchmark.</w:t>
      </w:r>
    </w:p>
    <w:tbl>
      <w:tblPr>
        <w:tblW w:type="dxa" w:w="9360"/>
        <w:tblBorders>
          <w:top w:val="single" w:color="AAB4C4" w:sz="2"/>
          <w:left w:val="single" w:color="AAB4C4" w:sz="2"/>
          <w:bottom w:val="single" w:color="AAB4C4" w:sz="2"/>
          <w:right w:val="single" w:color="AAB4C4" w:sz="2"/>
          <w:insideH w:val="single" w:color="CCCCCC" w:sz="1"/>
          <w:insideV w:val="single" w:color="CCCCCC" w:sz="1"/>
        </w:tblBorders>
      </w:tblPr>
      <w:tblGrid>
        <w:gridCol w:w="3200"/>
        <w:gridCol w:w="1100"/>
        <w:gridCol w:w="1560"/>
        <w:gridCol w:w="35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Shared standard</w:t>
            </w:r>
          </w:p>
        </w:tc>
        <w:tc>
          <w:tcPr>
            <w:tcW w:type="dxa" w:w="1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Built by</w:t>
            </w:r>
          </w:p>
        </w:tc>
        <w:tc>
          <w:tcPr>
            <w:tcW w:type="dxa" w:w="156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35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Data pipeline (preprocess / augment / split / loaders)</w:t>
            </w:r>
          </w:p>
        </w:tc>
        <w:tc>
          <w:tcPr>
            <w:tcW w:type="dxa" w:w="11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M2</w:t>
            </w:r>
          </w:p>
        </w:tc>
        <w:tc>
          <w:tcPr>
            <w:tcW w:type="dxa" w:w="156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All owners</w:t>
            </w:r>
          </w:p>
        </w:tc>
        <w:tc>
          <w:tcPr>
            <w:tcW w:type="dxa" w:w="35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Identical inputs for every model — fair comparison.</w:t>
            </w:r>
          </w:p>
        </w:tc>
      </w:tr>
      <w:tr>
        <w:tc>
          <w:tcPr>
            <w:tcW w:type="dxa" w:w="32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Training-loop template (frozen → fine-tune)</w:t>
            </w:r>
          </w:p>
        </w:tc>
        <w:tc>
          <w:tcPr>
            <w:tcW w:type="dxa" w:w="1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M5</w:t>
            </w:r>
          </w:p>
        </w:tc>
        <w:tc>
          <w:tcPr>
            <w:tcW w:type="dxa" w:w="156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All owners</w:t>
            </w:r>
          </w:p>
        </w:tc>
        <w:tc>
          <w:tcPr>
            <w:tcW w:type="dxa" w:w="35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Same optimiser/schedule/seed across models.</w:t>
            </w:r>
          </w:p>
        </w:tc>
      </w:tr>
      <w:tr>
        <w:tc>
          <w:tcPr>
            <w:tcW w:type="dxa" w:w="32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Calibration module (ECE, Brier, temp scaling)</w:t>
            </w:r>
          </w:p>
        </w:tc>
        <w:tc>
          <w:tcPr>
            <w:tcW w:type="dxa" w:w="11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M5</w:t>
            </w:r>
          </w:p>
        </w:tc>
        <w:tc>
          <w:tcPr>
            <w:tcW w:type="dxa" w:w="156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All owners</w:t>
            </w:r>
          </w:p>
        </w:tc>
        <w:tc>
          <w:tcPr>
            <w:tcW w:type="dxa" w:w="35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Comparable reliability numbers.</w:t>
            </w:r>
          </w:p>
        </w:tc>
      </w:tr>
      <w:tr>
        <w:tc>
          <w:tcPr>
            <w:tcW w:type="dxa" w:w="32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Explainability module (Grad-CAM / rollout / SHAP / faithfulness)</w:t>
            </w:r>
          </w:p>
        </w:tc>
        <w:tc>
          <w:tcPr>
            <w:tcW w:type="dxa" w:w="1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M4</w:t>
            </w:r>
          </w:p>
        </w:tc>
        <w:tc>
          <w:tcPr>
            <w:tcW w:type="dxa" w:w="156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All owners</w:t>
            </w:r>
          </w:p>
        </w:tc>
        <w:tc>
          <w:tcPr>
            <w:tcW w:type="dxa" w:w="35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Comparable, quantified explanations.</w:t>
            </w:r>
          </w:p>
        </w:tc>
      </w:tr>
      <w:tr>
        <w:tc>
          <w:tcPr>
            <w:tcW w:type="dxa" w:w="32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External-test / OOD protocol</w:t>
            </w:r>
          </w:p>
        </w:tc>
        <w:tc>
          <w:tcPr>
            <w:tcW w:type="dxa" w:w="11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M5</w:t>
            </w:r>
          </w:p>
        </w:tc>
        <w:tc>
          <w:tcPr>
            <w:tcW w:type="dxa" w:w="156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All owners</w:t>
            </w:r>
          </w:p>
        </w:tc>
        <w:tc>
          <w:tcPr>
            <w:tcW w:type="dxa" w:w="35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Comparable robustness (generalisation gap).</w:t>
            </w:r>
          </w:p>
        </w:tc>
      </w:tr>
      <w:tr>
        <w:tc>
          <w:tcPr>
            <w:tcW w:type="dxa" w:w="32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Efficiency harness (params/FLOPs/latency/memory)</w:t>
            </w:r>
          </w:p>
        </w:tc>
        <w:tc>
          <w:tcPr>
            <w:tcW w:type="dxa" w:w="11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M3</w:t>
            </w:r>
          </w:p>
        </w:tc>
        <w:tc>
          <w:tcPr>
            <w:tcW w:type="dxa" w:w="156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All owners</w:t>
            </w:r>
          </w:p>
        </w:tc>
        <w:tc>
          <w:tcPr>
            <w:tcW w:type="dxa" w:w="3500"/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Comparable deployment metrics.</w:t>
            </w:r>
          </w:p>
        </w:tc>
      </w:tr>
      <w:tr>
        <w:tc>
          <w:tcPr>
            <w:tcW w:type="dxa" w:w="32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Reproducibility (repo, seeds, tracking)</w:t>
            </w:r>
          </w:p>
        </w:tc>
        <w:tc>
          <w:tcPr>
            <w:tcW w:type="dxa" w:w="11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M1</w:t>
            </w:r>
          </w:p>
        </w:tc>
        <w:tc>
          <w:tcPr>
            <w:tcW w:type="dxa" w:w="156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All owners</w:t>
            </w:r>
          </w:p>
        </w:tc>
        <w:tc>
          <w:tcPr>
            <w:tcW w:type="dxa" w:w="3500"/>
            <w:shd w:fill="DCE6F1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color w:val="404040"/>
                <w:sz w:val="17"/>
                <w:szCs w:val="17"/>
              </w:rPr>
              <w:t xml:space="preserve">Anyone can re-run any result.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7. Critical Dependencies &amp; Sequencing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Nothing trains until the data pipeline (M2) and training template (M5) are frozen at Gate M0.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Model owners are blocked until then — so Week 1 is all-hands on the pipeline and baseline.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Explainability faithfulness (M4's module) needs the segmentation masks (M5).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M5 must deliver masks by early Week 3.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Calibration, XAI and OOD tests per model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each depend on that model being fully trained (Gate M1).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Consolidation, Pareto, Results and slides (Week 4)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depend on every model's metrics landing in the master results table (T41).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Writing is continuous, not last-minute.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M1 drafts Intro/Related Work from Week 1; M2 drafts Methodology from Week 2.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8. Coordination Rhythm (management tips)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Daily 10-minute stand-up: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each member says what they did, will do, and any blocker. Update Status in the Excel tracker before stand-up.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Gate reviews: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a short sign-off meeting at each milestone (end W1, end W2, mid W3, end W3, end W4). Do not start dependent work until the gate owner signs off.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Code review via pull requests: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no direct commits to main; at least one peer approves. Shared modules get extra scrutiny.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Results hygiene: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every metric is logged to results/ in the agreed schema so the Results author (M5) never chases numbers.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i w:val="false"/>
          <w:iCs w:val="false"/>
          <w:color w:val="404040"/>
          <w:sz w:val="21"/>
          <w:szCs w:val="21"/>
        </w:rPr>
        <w:t xml:space="preserve">Risk buffer: </w:t>
      </w:r>
      <w:r>
        <w:rPr>
          <w:b w:val="false"/>
          <w:bCs w:val="false"/>
          <w:i w:val="false"/>
          <w:iCs w:val="false"/>
          <w:color w:val="404040"/>
          <w:sz w:val="21"/>
          <w:szCs w:val="21"/>
        </w:rPr>
        <w:t xml:space="preserve">if time is short, cut the optional NIH check and SHAP first; protect the five-axis core (accuracy, calibration, faithfulness, robustness, efficiency).</w:t>
      </w:r>
    </w:p>
    <w:sectPr>
      <w:headerReference w:type="default" r:id="rId7"/>
      <w:footerReference w:type="default" r:id="rId8"/>
      <w:pgSz w:w="12240" w:h="15840" w:orient="portrait"/>
      <w:pgMar w:top="118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97B0"/>
        <w:sz w:val="16"/>
        <w:szCs w:val="16"/>
      </w:rPr>
      <w:t xml:space="preserve">Page </w:t>
    </w:r>
    <w:r>
      <w:rPr>
        <w:color w:val="8497B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497B0"/>
        <w:sz w:val="16"/>
        <w:szCs w:val="16"/>
      </w:rPr>
      <w:t xml:space="preserve"> of </w:t>
    </w:r>
    <w:r>
      <w:rPr>
        <w:color w:val="8497B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F1" w:sz="4" w:space="4"/>
      </w:pBdr>
      <w:jc w:val="right"/>
    </w:pPr>
    <w:r>
      <w:rPr>
        <w:color w:val="8497B0"/>
        <w:sz w:val="15"/>
        <w:szCs w:val="15"/>
      </w:rPr>
      <w:t xml:space="preserve">Project Management Plan · Chest X-ray DNN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Management Plan — 5-Member Work Breakdown</dc:title>
  <dc:creator>Cowork</dc:creator>
  <cp:lastModifiedBy>Un-named</cp:lastModifiedBy>
  <cp:revision>1</cp:revision>
  <dcterms:created xsi:type="dcterms:W3CDTF">2026-07-22T07:35:40.371Z</dcterms:created>
  <dcterms:modified xsi:type="dcterms:W3CDTF">2026-07-22T07:35:40.372Z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