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160"/>
              <w:left w:type="dxa" w:w="120"/>
              <w:bottom w:type="dxa" w:w="160"/>
              <w:right w:type="dxa" w:w="120"/>
            </w:tcMar>
          </w:tcPr>
          <w:p>
            <w:pPr>
              <w:spacing w:after="40"/>
              <w:jc w:val="center"/>
            </w:pPr>
            <w:r>
              <w:rPr>
                <w:rFonts w:ascii="Arial" w:cs="Arial" w:eastAsia="Arial" w:hAnsi="Arial"/>
                <w:b/>
                <w:bCs/>
                <w:color w:val="FFFFFF"/>
                <w:sz w:val="30"/>
                <w:szCs w:val="30"/>
              </w:rPr>
              <w:t xml:space="preserve">CODING STANDARD</w:t>
            </w:r>
          </w:p>
          <w:p>
            <w:pPr>
              <w:spacing w:after="40"/>
              <w:jc w:val="center"/>
            </w:pPr>
            <w:r>
              <w:rPr>
                <w:rFonts w:ascii="Arial" w:cs="Arial" w:eastAsia="Arial" w:hAnsi="Arial"/>
                <w:b w:val="false"/>
                <w:bCs w:val="false"/>
                <w:color w:val="FFFFFF"/>
                <w:sz w:val="20"/>
                <w:szCs w:val="20"/>
              </w:rPr>
              <w:t xml:space="preserve">Conventions for the sen-TapIn Firmware</w:t>
            </w:r>
          </w:p>
          <w:p>
            <w:pPr>
              <w:spacing w:after="40"/>
              <w:jc w:val="center"/>
            </w:pPr>
            <w:r>
              <w:rPr>
                <w:rFonts w:ascii="Arial" w:cs="Arial" w:eastAsia="Arial" w:hAnsi="Arial"/>
                <w:b w:val="false"/>
                <w:bCs w:val="false"/>
                <w:color w:val="FFFFFF"/>
                <w:sz w:val="20"/>
                <w:szCs w:val="20"/>
              </w:rPr>
              <w:t xml:space="preserve">sen-TapIn — NFC Access &amp; Attendance Terminal (v0.1.0 baseline, MicroPython)</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Document Title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CODING STANDARD</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Document Number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CS-003</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Revision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1.0</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Status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DRAFT</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Date</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26 June 2026</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Project</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sen-TapIn — NFC Access &amp; Attendance Terminal</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Product Version</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v0.1.0 (baseline) — MicroPython build (variant: +mp)</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Lead Engineer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Supun Akalanka Sriyananda (Owner)</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Tech Engineer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Ravindu Madanayaka</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Supporting Engineer</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Chenuli Athukorala</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Affiliated Companies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Sen-Net, Arpico Energy, Soran</w:t>
            </w:r>
          </w:p>
        </w:tc>
      </w:tr>
      <w:tr>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Related Docs</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HDD-003, REQ-SPEC-003, TP-003</w:t>
            </w:r>
          </w:p>
        </w:tc>
      </w:tr>
    </w:tbl>
    <w:p>
      <w:pPr>
        <w:spacing w:after="200"/>
      </w:pPr>
      <w:r>
        <w:rPr>
          <w:rFonts w:ascii="Arial" w:cs="Arial" w:eastAsia="Arial" w:hAnsi="Arial"/>
        </w:rPr>
        <w:t xml:space="preserve"/>
      </w:r>
    </w:p>
    <w:p>
      <w:pPr>
        <w:pStyle w:val="Heading1"/>
        <w:spacing w:after="130" w:before="260"/>
      </w:pPr>
      <w:r>
        <w:rPr>
          <w:rFonts w:ascii="Arial" w:cs="Arial" w:eastAsia="Arial" w:hAnsi="Arial"/>
          <w:b/>
          <w:bCs/>
          <w:color w:val="1F4D78"/>
          <w:sz w:val="27"/>
          <w:szCs w:val="27"/>
        </w:rPr>
        <w:t xml:space="preserve">1.  Purpose and Scope</w:t>
      </w:r>
    </w:p>
    <w:p>
      <w:pPr>
        <w:spacing w:after="120" w:line="276"/>
      </w:pPr>
      <w:r>
        <w:rPr>
          <w:rFonts w:ascii="Arial" w:cs="Arial" w:eastAsia="Arial" w:hAnsi="Arial"/>
          <w:sz w:val="20"/>
          <w:szCs w:val="20"/>
        </w:rPr>
        <w:t xml:space="preserve">This document defines the coding conventions for the sen-TapIn firmware: the MicroPython codebase running on the Raspberry Pi Pico 2 W for the v0.1.0 baseline (Layer 1). Its purpose is that all code reads as if written by one person, that common error patterns are systematically prevented, and that each requirement in REQ-SPEC-003 is traceable into the source. Deviations from these conventions require a short comment explaining the reason.</w:t>
      </w:r>
    </w:p>
    <w:p>
      <w:pPr>
        <w:spacing w:after="120" w:line="276"/>
      </w:pPr>
      <w:r>
        <w:rPr>
          <w:rFonts w:ascii="Arial" w:cs="Arial" w:eastAsia="Arial" w:hAnsi="Arial"/>
          <w:sz w:val="20"/>
          <w:szCs w:val="20"/>
        </w:rPr>
        <w:t xml:space="preserve">This standard is a living document. When the Pico SDK / C build (v0.2.0) begins, it will be extended with a firmware-C part rather than replaced; the structural rules here — one module per concern, the single-source pin map, and the fixed state machine — are written so they carry across both builds. Section 10 records that intent.</w:t>
      </w:r>
    </w:p>
    <w:p>
      <w:pPr>
        <w:pStyle w:val="Heading1"/>
        <w:spacing w:after="130" w:before="260"/>
      </w:pPr>
      <w:r>
        <w:rPr>
          <w:rFonts w:ascii="Arial" w:cs="Arial" w:eastAsia="Arial" w:hAnsi="Arial"/>
          <w:b/>
          <w:bCs/>
          <w:color w:val="1F4D78"/>
          <w:sz w:val="27"/>
          <w:szCs w:val="27"/>
        </w:rPr>
        <w:t xml:space="preserve">2.  Project Layout and Module Naming</w:t>
      </w:r>
    </w:p>
    <w:p>
      <w:pPr>
        <w:spacing w:after="120" w:line="276"/>
      </w:pPr>
      <w:r>
        <w:rPr>
          <w:rFonts w:ascii="Arial" w:cs="Arial" w:eastAsia="Arial" w:hAnsi="Arial"/>
          <w:sz w:val="20"/>
          <w:szCs w:val="20"/>
        </w:rPr>
        <w:t xml:space="preserve">Source files are lowercase with underscores. Each hardware concern and each application concern gets its own module, so that a fault can be localised to one file. The baseline layout is:</w:t>
      </w:r>
    </w:p>
    <w:p>
      <w:pPr>
        <w:spacing w:after="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Module</w:t>
            </w:r>
          </w:p>
        </w:tc>
        <w:tc>
          <w:tcPr>
            <w:tcW w:type="dxa" w:w="7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Responsibility</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board.py</w:t>
            </w:r>
          </w:p>
        </w:tc>
        <w:tc>
          <w:tcPr>
            <w:tcW w:type="dxa" w:w="7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Single source of pin numbers and I2C addresses (see Section 3). No logic.</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rtc.py</w:t>
            </w:r>
          </w:p>
        </w:tc>
        <w:tc>
          <w:tcPr>
            <w:tcW w:type="dxa" w:w="7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DS3231 read/set; returns timestamps for logging.</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nfc.py</w:t>
            </w:r>
          </w:p>
        </w:tc>
        <w:tc>
          <w:tcPr>
            <w:tcW w:type="dxa" w:w="7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PN532 UID read over I2C.</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sd_log.py</w:t>
            </w:r>
          </w:p>
        </w:tc>
        <w:tc>
          <w:tcPr>
            <w:tcW w:type="dxa" w:w="7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SD mount, allow-list read, append-only attendance log.</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ui.py</w:t>
            </w:r>
          </w:p>
        </w:tc>
        <w:tc>
          <w:tcPr>
            <w:tcW w:type="dxa" w:w="7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OLED, WS2811 RGB, and buzzer feedback.</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buttons.py</w:t>
            </w:r>
          </w:p>
        </w:tc>
        <w:tc>
          <w:tcPr>
            <w:tcW w:type="dxa" w:w="7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IN/OUT button read and debounce.</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access.py</w:t>
            </w:r>
          </w:p>
        </w:tc>
        <w:tc>
          <w:tcPr>
            <w:tcW w:type="dxa" w:w="7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Allow-list lookup and the grant/deny decision.</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main.py</w:t>
            </w:r>
          </w:p>
        </w:tc>
        <w:tc>
          <w:tcPr>
            <w:tcW w:type="dxa" w:w="7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The state machine (Section 6) and start-up / fault handling.</w:t>
            </w:r>
          </w:p>
        </w:tc>
      </w:tr>
    </w:tbl>
    <w:p>
      <w:pPr>
        <w:pStyle w:val="Heading1"/>
        <w:spacing w:after="130" w:before="260"/>
      </w:pPr>
      <w:r>
        <w:rPr>
          <w:rFonts w:ascii="Arial" w:cs="Arial" w:eastAsia="Arial" w:hAnsi="Arial"/>
          <w:b/>
          <w:bCs/>
          <w:color w:val="1F4D78"/>
          <w:sz w:val="27"/>
          <w:szCs w:val="27"/>
        </w:rPr>
        <w:t xml:space="preserve">3.  The Frozen Pin Map Lives in One Place</w:t>
      </w:r>
    </w:p>
    <w:p>
      <w:pPr>
        <w:spacing w:after="120" w:line="276"/>
      </w:pPr>
      <w:r>
        <w:rPr>
          <w:rFonts w:ascii="Arial" w:cs="Arial" w:eastAsia="Arial" w:hAnsi="Arial"/>
          <w:sz w:val="20"/>
          <w:szCs w:val="20"/>
        </w:rPr>
        <w:t xml:space="preserve">Every pin number and every I2C address defined in HDD-003 §3 shall be declared exactly once, as a named constant in </w:t>
      </w:r>
      <w:r>
        <w:rPr>
          <w:rFonts w:ascii="Consolas" w:cs="Consolas" w:eastAsia="Consolas" w:hAnsi="Consolas"/>
          <w:sz w:val="19"/>
          <w:szCs w:val="19"/>
        </w:rPr>
        <w:t xml:space="preserve">board.py</w:t>
      </w:r>
      <w:r>
        <w:rPr>
          <w:rFonts w:ascii="Arial" w:cs="Arial" w:eastAsia="Arial" w:hAnsi="Arial"/>
          <w:sz w:val="20"/>
          <w:szCs w:val="20"/>
        </w:rPr>
        <w:t xml:space="preserve">, and referenced nowhere else by literal value. No pin number or bus address may appear as a magic number anywhere else in the codebase. This is the single most important rule in this standard: it enforces pin-map compliance (REQ-NF-005), and it means a wiring change — or a port to the C build — is a one-file edit rather than a search through the source. A reviewer shall reject any change that introduces a bare pin number outside </w:t>
      </w:r>
      <w:r>
        <w:rPr>
          <w:rFonts w:ascii="Consolas" w:cs="Consolas" w:eastAsia="Consolas" w:hAnsi="Consolas"/>
          <w:sz w:val="19"/>
          <w:szCs w:val="19"/>
        </w:rPr>
        <w:t xml:space="preserve">board.py</w:t>
      </w:r>
      <w:r>
        <w:rPr>
          <w:rFonts w:ascii="Arial" w:cs="Arial" w:eastAsia="Arial" w:hAnsi="Arial"/>
          <w:sz w:val="20"/>
          <w:szCs w:val="20"/>
        </w:rPr>
        <w:t xml:space="preserve">.</w:t>
      </w:r>
    </w:p>
    <w:p>
      <w:pPr>
        <w:pStyle w:val="Heading1"/>
        <w:spacing w:after="130" w:before="260"/>
      </w:pPr>
      <w:r>
        <w:rPr>
          <w:rFonts w:ascii="Arial" w:cs="Arial" w:eastAsia="Arial" w:hAnsi="Arial"/>
          <w:b/>
          <w:bCs/>
          <w:color w:val="1F4D78"/>
          <w:sz w:val="27"/>
          <w:szCs w:val="27"/>
        </w:rPr>
        <w:t xml:space="preserve">4.  Naming Conventions</w:t>
      </w:r>
    </w:p>
    <w:p>
      <w:pPr>
        <w:spacing w:after="120" w:line="276"/>
      </w:pPr>
      <w:r>
        <w:rPr>
          <w:rFonts w:ascii="Arial" w:cs="Arial" w:eastAsia="Arial" w:hAnsi="Arial"/>
          <w:sz w:val="20"/>
          <w:szCs w:val="20"/>
        </w:rPr>
        <w:t xml:space="preserve">Public functions are prefixed with their module name as a namespace, preventing collisions and making call sites self-describing: </w:t>
      </w:r>
      <w:r>
        <w:rPr>
          <w:rFonts w:ascii="Consolas" w:cs="Consolas" w:eastAsia="Consolas" w:hAnsi="Consolas"/>
          <w:sz w:val="19"/>
          <w:szCs w:val="19"/>
        </w:rPr>
        <w:t xml:space="preserve">nfc_read_uid()</w:t>
      </w:r>
      <w:r>
        <w:rPr>
          <w:rFonts w:ascii="Arial" w:cs="Arial" w:eastAsia="Arial" w:hAnsi="Arial"/>
          <w:sz w:val="20"/>
          <w:szCs w:val="20"/>
        </w:rPr>
        <w:t xml:space="preserve">, </w:t>
      </w:r>
      <w:r>
        <w:rPr>
          <w:rFonts w:ascii="Consolas" w:cs="Consolas" w:eastAsia="Consolas" w:hAnsi="Consolas"/>
          <w:sz w:val="19"/>
          <w:szCs w:val="19"/>
        </w:rPr>
        <w:t xml:space="preserve">rtc_now()</w:t>
      </w:r>
      <w:r>
        <w:rPr>
          <w:rFonts w:ascii="Arial" w:cs="Arial" w:eastAsia="Arial" w:hAnsi="Arial"/>
          <w:sz w:val="20"/>
          <w:szCs w:val="20"/>
        </w:rPr>
        <w:t xml:space="preserve">, </w:t>
      </w:r>
      <w:r>
        <w:rPr>
          <w:rFonts w:ascii="Consolas" w:cs="Consolas" w:eastAsia="Consolas" w:hAnsi="Consolas"/>
          <w:sz w:val="19"/>
          <w:szCs w:val="19"/>
        </w:rPr>
        <w:t xml:space="preserve">log_append()</w:t>
      </w:r>
      <w:r>
        <w:rPr>
          <w:rFonts w:ascii="Arial" w:cs="Arial" w:eastAsia="Arial" w:hAnsi="Arial"/>
          <w:sz w:val="20"/>
          <w:szCs w:val="20"/>
        </w:rPr>
        <w:t xml:space="preserve">, </w:t>
      </w:r>
      <w:r>
        <w:rPr>
          <w:rFonts w:ascii="Consolas" w:cs="Consolas" w:eastAsia="Consolas" w:hAnsi="Consolas"/>
          <w:sz w:val="19"/>
          <w:szCs w:val="19"/>
        </w:rPr>
        <w:t xml:space="preserve">access_decide()</w:t>
      </w:r>
      <w:r>
        <w:rPr>
          <w:rFonts w:ascii="Arial" w:cs="Arial" w:eastAsia="Arial" w:hAnsi="Arial"/>
          <w:sz w:val="20"/>
          <w:szCs w:val="20"/>
        </w:rPr>
        <w:t xml:space="preserve">. Local variables are lowercase_with_underscores; constants are UPPER_CASE; the state-machine states are named constants (Section 6). Colour, tone, timeout, and file-path values are named constants, never literals at the call site (Section 9).</w:t>
      </w:r>
    </w:p>
    <w:p>
      <w:pPr>
        <w:pStyle w:val="Heading1"/>
        <w:spacing w:after="130" w:before="260"/>
      </w:pPr>
      <w:r>
        <w:rPr>
          <w:rFonts w:ascii="Arial" w:cs="Arial" w:eastAsia="Arial" w:hAnsi="Arial"/>
          <w:b/>
          <w:bCs/>
          <w:color w:val="1F4D78"/>
          <w:sz w:val="27"/>
          <w:szCs w:val="27"/>
        </w:rPr>
        <w:t xml:space="preserve">5.  Error Handling — the Most Important Behavioural Rule</w:t>
      </w:r>
    </w:p>
    <w:p>
      <w:pPr>
        <w:spacing w:after="120" w:line="276"/>
      </w:pPr>
      <w:r>
        <w:rPr>
          <w:rFonts w:ascii="Arial" w:cs="Arial" w:eastAsia="Arial" w:hAnsi="Arial"/>
          <w:sz w:val="20"/>
          <w:szCs w:val="20"/>
        </w:rPr>
        <w:t xml:space="preserve">Every function that can fail returns a status the caller must check; a failure is never silently swallowed. Three consequences of this rule are mandatory because they realise safety and reliability requirements directly:</w:t>
      </w:r>
    </w:p>
    <w:p>
      <w:pPr>
        <w:spacing w:after="120" w:line="276"/>
      </w:pPr>
      <w:r>
        <w:rPr>
          <w:rFonts w:ascii="Arial" w:cs="Arial" w:eastAsia="Arial" w:hAnsi="Arial"/>
          <w:b/>
          <w:bCs/>
          <w:sz w:val="20"/>
          <w:szCs w:val="20"/>
        </w:rPr>
        <w:t xml:space="preserve">Fault on start-up. </w:t>
      </w:r>
      <w:r>
        <w:rPr>
          <w:rFonts w:ascii="Arial" w:cs="Arial" w:eastAsia="Arial" w:hAnsi="Arial"/>
          <w:sz w:val="20"/>
          <w:szCs w:val="20"/>
        </w:rPr>
        <w:t xml:space="preserve">If the SD card or the RTC fails to initialise, main.py shall enter the fault state and display the fault on the OLED; it shall not proceed to normal operation (REQ-NF-007).</w:t>
      </w:r>
    </w:p>
    <w:p>
      <w:pPr>
        <w:spacing w:after="120" w:line="276"/>
      </w:pPr>
      <w:r>
        <w:rPr>
          <w:rFonts w:ascii="Arial" w:cs="Arial" w:eastAsia="Arial" w:hAnsi="Arial"/>
          <w:b/>
          <w:bCs/>
          <w:sz w:val="20"/>
          <w:szCs w:val="20"/>
        </w:rPr>
        <w:t xml:space="preserve">Fail-closed. </w:t>
      </w:r>
      <w:r>
        <w:rPr>
          <w:rFonts w:ascii="Arial" w:cs="Arial" w:eastAsia="Arial" w:hAnsi="Arial"/>
          <w:sz w:val="20"/>
          <w:szCs w:val="20"/>
        </w:rPr>
        <w:t xml:space="preserve">On any unrecoverable fault, the relay shall be left de-energised so no unlock occurs (REQ-S-003). The safe state is the default state, reached by doing nothing.</w:t>
      </w:r>
    </w:p>
    <w:p>
      <w:pPr>
        <w:spacing w:after="120" w:line="276"/>
      </w:pPr>
      <w:r>
        <w:rPr>
          <w:rFonts w:ascii="Arial" w:cs="Arial" w:eastAsia="Arial" w:hAnsi="Arial"/>
          <w:b/>
          <w:bCs/>
          <w:sz w:val="20"/>
          <w:szCs w:val="20"/>
        </w:rPr>
        <w:t xml:space="preserve">No silent log failures. </w:t>
      </w:r>
      <w:r>
        <w:rPr>
          <w:rFonts w:ascii="Arial" w:cs="Arial" w:eastAsia="Arial" w:hAnsi="Arial"/>
          <w:sz w:val="20"/>
          <w:szCs w:val="20"/>
        </w:rPr>
        <w:t xml:space="preserve">A failed write to the attendance log is a fault, not a condition to ignore. Because an attendance terminal that appears to work but is not recording is worse than one that visibly stops, a log-write failure shall surface on the OLED and halt normal operation (REQ-NF-003, REQ-NF-007).</w:t>
      </w:r>
    </w:p>
    <w:p>
      <w:pPr>
        <w:pStyle w:val="Heading1"/>
        <w:spacing w:after="130" w:before="260"/>
      </w:pPr>
      <w:r>
        <w:rPr>
          <w:rFonts w:ascii="Arial" w:cs="Arial" w:eastAsia="Arial" w:hAnsi="Arial"/>
          <w:b/>
          <w:bCs/>
          <w:color w:val="1F4D78"/>
          <w:sz w:val="27"/>
          <w:szCs w:val="27"/>
        </w:rPr>
        <w:t xml:space="preserve">6.  The State Machine and Timing Discipline</w:t>
      </w:r>
    </w:p>
    <w:p>
      <w:pPr>
        <w:spacing w:after="120" w:line="276"/>
      </w:pPr>
      <w:r>
        <w:rPr>
          <w:rFonts w:ascii="Arial" w:cs="Arial" w:eastAsia="Arial" w:hAnsi="Arial"/>
          <w:sz w:val="20"/>
          <w:szCs w:val="20"/>
        </w:rPr>
        <w:t xml:space="preserve">The terminal's behaviour is implemented as an explicit state machine in main.py, not as a tangle of boolean flags. The state set is fixed by this standard and shall be used by both the MicroPython and the C builds:</w:t>
      </w:r>
    </w:p>
    <w:p>
      <w:pPr>
        <w:spacing w:after="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State</w:t>
            </w:r>
          </w:p>
        </w:tc>
        <w:tc>
          <w:tcPr>
            <w:tcW w:type="dxa" w:w="7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Meaning and exit</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IDLE</w:t>
            </w:r>
          </w:p>
        </w:tc>
        <w:tc>
          <w:tcPr>
            <w:tcW w:type="dxa" w:w="70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Unarmed. OLED shows time + prompt; RGB idle tint. A button press → ARMED_IN / ARMED_OUT.</w:t>
            </w:r>
          </w:p>
        </w:tc>
      </w:tr>
      <w:tr>
        <w:tc>
          <w:tcPr>
            <w:tcW w:type="dxa" w:w="2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ARMED_IN / ARMED_OUT</w:t>
            </w:r>
          </w:p>
        </w:tc>
        <w:tc>
          <w:tcPr>
            <w:tcW w:type="dxa" w:w="70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Direction armed. Awaiting a card. A read → DECIDING; arm-timeout elapsed → IDLE.</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DECIDING</w:t>
            </w:r>
          </w:p>
        </w:tc>
        <w:tc>
          <w:tcPr>
            <w:tcW w:type="dxa" w:w="70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UID looked up against the allow-list → GRANTED or DENIED result → FEEDBACK.</w:t>
            </w:r>
          </w:p>
        </w:tc>
      </w:tr>
      <w:tr>
        <w:tc>
          <w:tcPr>
            <w:tcW w:type="dxa" w:w="2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FEEDBACK</w:t>
            </w:r>
          </w:p>
        </w:tc>
        <w:tc>
          <w:tcPr>
            <w:tcW w:type="dxa" w:w="70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RGB + tone + OLED (+ relay pulse on grant) present the result → LOGGING.</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Consolas" w:cs="Consolas" w:eastAsia="Consolas" w:hAnsi="Consolas"/>
                <w:sz w:val="18"/>
                <w:szCs w:val="18"/>
              </w:rPr>
              <w:t xml:space="preserve">LOGGING</w:t>
            </w:r>
          </w:p>
        </w:tc>
        <w:tc>
          <w:tcPr>
            <w:tcW w:type="dxa" w:w="70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8"/>
                <w:szCs w:val="18"/>
              </w:rPr>
              <w:t xml:space="preserve">One record appended and flushed (Section 7) → IDLE.</w:t>
            </w:r>
          </w:p>
        </w:tc>
      </w:tr>
      <w:tr>
        <w:tc>
          <w:tcPr>
            <w:tcW w:type="dxa" w:w="2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Consolas" w:cs="Consolas" w:eastAsia="Consolas" w:hAnsi="Consolas"/>
                <w:sz w:val="18"/>
                <w:szCs w:val="18"/>
              </w:rPr>
              <w:t xml:space="preserve">FAULT</w:t>
            </w:r>
          </w:p>
        </w:tc>
        <w:tc>
          <w:tcPr>
            <w:tcW w:type="dxa" w:w="70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8"/>
                <w:szCs w:val="18"/>
              </w:rPr>
              <w:t xml:space="preserve">Unrecoverable fault. OLED shows cause; relay de-energised; no normal operation until cleared.</w:t>
            </w:r>
          </w:p>
        </w:tc>
      </w:tr>
    </w:tbl>
    <w:p>
      <w:pPr>
        <w:spacing w:after="60"/>
      </w:pPr>
      <w:r>
        <w:rPr>
          <w:rFonts w:ascii="Arial" w:cs="Arial" w:eastAsia="Arial" w:hAnsi="Arial"/>
        </w:rPr>
        <w:t xml:space="preserve"/>
      </w:r>
    </w:p>
    <w:p>
      <w:pPr>
        <w:spacing w:after="120" w:line="276"/>
      </w:pPr>
      <w:r>
        <w:rPr>
          <w:rFonts w:ascii="Arial" w:cs="Arial" w:eastAsia="Arial" w:hAnsi="Arial"/>
          <w:sz w:val="20"/>
          <w:szCs w:val="20"/>
        </w:rPr>
        <w:t xml:space="preserve">The arm-timeout (default 10 s) and the duplicate-suppression window (default 5 s) are named constants, not literals. Duplicate suppression applies to granted re-taps only; repeated denied taps are each logged (REQ-F-012). Button inputs are debounced so one physical press causes exactly one transition (REQ-NF-006). No state handler may block for longer than is needed to keep tap-to-feedback within one second (REQ-NF-001); long or blocking operations must not sit on the path between a card read and its feedback.</w:t>
      </w:r>
    </w:p>
    <w:p>
      <w:pPr>
        <w:pStyle w:val="Heading1"/>
        <w:spacing w:after="130" w:before="260"/>
      </w:pPr>
      <w:r>
        <w:rPr>
          <w:rFonts w:ascii="Arial" w:cs="Arial" w:eastAsia="Arial" w:hAnsi="Arial"/>
          <w:b/>
          <w:bCs/>
          <w:color w:val="1F4D78"/>
          <w:sz w:val="27"/>
          <w:szCs w:val="27"/>
        </w:rPr>
        <w:t xml:space="preserve">7.  Logging Discipline</w:t>
      </w:r>
    </w:p>
    <w:p>
      <w:pPr>
        <w:spacing w:after="120" w:line="276"/>
      </w:pPr>
      <w:r>
        <w:rPr>
          <w:rFonts w:ascii="Arial" w:cs="Arial" w:eastAsia="Arial" w:hAnsi="Arial"/>
          <w:sz w:val="20"/>
          <w:szCs w:val="20"/>
        </w:rPr>
        <w:t xml:space="preserve">The attendance log is append-only and is written by a single function in </w:t>
      </w:r>
      <w:r>
        <w:rPr>
          <w:rFonts w:ascii="Consolas" w:cs="Consolas" w:eastAsia="Consolas" w:hAnsi="Consolas"/>
          <w:sz w:val="19"/>
          <w:szCs w:val="19"/>
        </w:rPr>
        <w:t xml:space="preserve">sd_log.py</w:t>
      </w:r>
      <w:r>
        <w:rPr>
          <w:rFonts w:ascii="Arial" w:cs="Arial" w:eastAsia="Arial" w:hAnsi="Arial"/>
          <w:sz w:val="20"/>
          <w:szCs w:val="20"/>
        </w:rPr>
        <w:t xml:space="preserve"> so the record format cannot drift. That function writes exactly the schema defined in REQ-SPEC-003 §4 (timestamp, uid, name, direction, result) and flushes after each record, so an unexpected power loss costs at most the in-progress record (REQ-NF-003). Every decided event is logged — granted and denied alike; a denied unknown card is logged with its raw UID and name "unknown" (REQ-F-006, REQ-F-010).</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Forward note — denied-UID logging changes in the hardening stage.</w:t>
            </w:r>
          </w:p>
          <w:p>
            <w:pPr>
              <w:spacing w:after="0" w:line="276"/>
            </w:pPr>
            <w:r>
              <w:rPr>
                <w:rFonts w:ascii="Arial" w:cs="Arial" w:eastAsia="Arial" w:hAnsi="Arial"/>
                <w:sz w:val="19"/>
                <w:szCs w:val="19"/>
              </w:rPr>
              <w:t xml:space="preserve">Logging denied events writes card UIDs to the SD card in the clear. This is acceptable and useful for the v0.1.0 baseline (see REQ-S-002), but the hardening stage (v0.3.0) is expected to hash logged UIDs. Keep the log-writing function isolated so this change touches one place only.</w:t>
            </w:r>
          </w:p>
        </w:tc>
      </w:tr>
    </w:tbl>
    <w:p>
      <w:pPr>
        <w:pStyle w:val="Heading1"/>
        <w:spacing w:after="130" w:before="260"/>
      </w:pPr>
      <w:r>
        <w:rPr>
          <w:rFonts w:ascii="Arial" w:cs="Arial" w:eastAsia="Arial" w:hAnsi="Arial"/>
          <w:b/>
          <w:bCs/>
          <w:color w:val="1F4D78"/>
          <w:sz w:val="27"/>
          <w:szCs w:val="27"/>
        </w:rPr>
        <w:t xml:space="preserve">8.  Comments and the Non-Secure Boundary</w:t>
      </w:r>
    </w:p>
    <w:p>
      <w:pPr>
        <w:spacing w:after="120" w:line="276"/>
      </w:pPr>
      <w:r>
        <w:rPr>
          <w:rFonts w:ascii="Arial" w:cs="Arial" w:eastAsia="Arial" w:hAnsi="Arial"/>
          <w:sz w:val="20"/>
          <w:szCs w:val="20"/>
        </w:rPr>
        <w:t xml:space="preserve">Comments explain why, not what. One comment is mandatory: at the authorisation decision in </w:t>
      </w:r>
      <w:r>
        <w:rPr>
          <w:rFonts w:ascii="Consolas" w:cs="Consolas" w:eastAsia="Consolas" w:hAnsi="Consolas"/>
          <w:sz w:val="19"/>
          <w:szCs w:val="19"/>
        </w:rPr>
        <w:t xml:space="preserve">access.py</w:t>
      </w:r>
      <w:r>
        <w:rPr>
          <w:rFonts w:ascii="Arial" w:cs="Arial" w:eastAsia="Arial" w:hAnsi="Arial"/>
          <w:sz w:val="20"/>
          <w:szCs w:val="20"/>
        </w:rPr>
        <w:t xml:space="preserve">, a comment shall state that UID-based authorisation is not secure and must not be treated as a real access-control mechanism (REQ-S-002). This keeps the safety acknowledgement in the source where an implementer will see it, and it is one of the items the safety review checks (TP-003 TC-D-02).</w:t>
      </w:r>
    </w:p>
    <w:p>
      <w:pPr>
        <w:pStyle w:val="Heading1"/>
        <w:spacing w:after="130" w:before="260"/>
      </w:pPr>
      <w:r>
        <w:rPr>
          <w:rFonts w:ascii="Arial" w:cs="Arial" w:eastAsia="Arial" w:hAnsi="Arial"/>
          <w:b/>
          <w:bCs/>
          <w:color w:val="1F4D78"/>
          <w:sz w:val="27"/>
          <w:szCs w:val="27"/>
        </w:rPr>
        <w:t xml:space="preserve">9.  Constants, Configuration, and No Magic Numbers</w:t>
      </w:r>
    </w:p>
    <w:p>
      <w:pPr>
        <w:spacing w:after="120" w:line="276"/>
      </w:pPr>
      <w:r>
        <w:rPr>
          <w:rFonts w:ascii="Arial" w:cs="Arial" w:eastAsia="Arial" w:hAnsi="Arial"/>
          <w:sz w:val="20"/>
          <w:szCs w:val="20"/>
        </w:rPr>
        <w:t xml:space="preserve">Tunable values — the arm timeout, the duplicate-suppression window, feedback colours, buzzer tones, and file paths — are named constants grouped by purpose, kept separate from the pin map so that configuration and wiring do not mix. The tunable timing values may be changed during bring-up without a requirement change (REQ-SPEC-003 §6), but only by editing the named constant, and the change shall be noted. No literal timing, colour, or path value may appear at a call site.</w:t>
      </w:r>
    </w:p>
    <w:p>
      <w:pPr>
        <w:pStyle w:val="Heading1"/>
        <w:spacing w:after="130" w:before="260"/>
      </w:pPr>
      <w:r>
        <w:rPr>
          <w:rFonts w:ascii="Arial" w:cs="Arial" w:eastAsia="Arial" w:hAnsi="Arial"/>
          <w:b/>
          <w:bCs/>
          <w:color w:val="1F4D78"/>
          <w:sz w:val="27"/>
          <w:szCs w:val="27"/>
        </w:rPr>
        <w:t xml:space="preserve">10.  Forward Note — the C Build (v0.2.0)</w:t>
      </w:r>
    </w:p>
    <w:p>
      <w:pPr>
        <w:spacing w:after="120" w:line="276"/>
      </w:pPr>
      <w:r>
        <w:rPr>
          <w:rFonts w:ascii="Arial" w:cs="Arial" w:eastAsia="Arial" w:hAnsi="Arial"/>
          <w:sz w:val="20"/>
          <w:szCs w:val="20"/>
        </w:rPr>
        <w:t xml:space="preserve">When the Pico SDK / C build begins, this standard gains a firmware-C part covering module structure with header interfaces, the same one-source pin-map rule (in a board.h), status-return error handling, and the timing-critical WS2811 driven from a PIO state machine rather than a bit-banged loop. The state set in Section 6 and the logging schema in Section 7 carry across unchanged, so the C build is a re-implementation against the same rules, not a redesign. The Lead Engineer owns this standard and approves changes to 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2026-07-07T10:45:32.565Z</dcterms:created>
  <dcterms:modified xsi:type="dcterms:W3CDTF">2026-07-07T10:45:32.577Z</dcterms:modified>
</cp:coreProperties>
</file>

<file path=docProps/custom.xml><?xml version="1.0" encoding="utf-8"?>
<Properties xmlns="http://schemas.openxmlformats.org/officeDocument/2006/custom-properties" xmlns:vt="http://schemas.openxmlformats.org/officeDocument/2006/docPropsVTypes"/>
</file>