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Finance Report</w:t>
      </w:r>
    </w:p>
    <w:p>
      <w:pPr>
        <w:jc w:val="center"/>
      </w:pPr>
      <w:r>
        <w:rPr>
          <w:i/>
        </w:rPr>
        <w:t>Cryptocurrency Exchange Tiered Earning Rates &amp; Yield-Maximisation Strategies</w:t>
      </w:r>
    </w:p>
    <w:p/>
    <w:p>
      <w:pPr>
        <w:pStyle w:val="Heading1"/>
      </w:pPr>
      <w:r>
        <w:t>1. Universal Exchange Principle: Tiered Rate Limits</w:t>
      </w:r>
    </w:p>
    <w:p>
      <w:r>
        <w:rPr>
          <w:b w:val="0"/>
          <w:i w:val="0"/>
        </w:rPr>
        <w:t>Every major cryptocurrency exchange operates on the same fundamental principle when it comes to tiered earning products: you cannot bypass the tier limits for a specific cryptocurrency by opening multiple separate Earn subscriptions.</w:t>
      </w:r>
    </w:p>
    <w:p>
      <w:r>
        <w:rPr>
          <w:b w:val="0"/>
          <w:i w:val="0"/>
        </w:rPr>
        <w:t>This applies uniformly across leading platforms including MEXC, OKX, Binance, Bybit, and others. The mechanism is account-wide, not per-subscription.</w:t>
      </w:r>
    </w:p>
    <w:p>
      <w:pPr>
        <w:pStyle w:val="Heading1"/>
      </w:pPr>
      <w:r>
        <w:t>2. MEXC Earn Subscription Tiers</w:t>
      </w:r>
    </w:p>
    <w:p>
      <w:r>
        <w:rPr>
          <w:b w:val="0"/>
          <w:i w:val="0"/>
        </w:rPr>
        <w:t>Tiered APRs on MEXC are based on the aggregate amount of an asset held in that product across all subscriptions, not per individual order or Fixed Deposit (FD).</w:t>
      </w:r>
    </w:p>
    <w:p>
      <w:pPr>
        <w:pStyle w:val="Heading2"/>
      </w:pPr>
      <w:r>
        <w:t>2.1 Cumulative Calculation</w:t>
      </w:r>
    </w:p>
    <w:p>
      <w:r>
        <w:rPr>
          <w:b w:val="0"/>
          <w:i w:val="0"/>
        </w:rPr>
        <w:t>The applicable APR tier is determined by the total principal in your account snapshots. Consider the following USDT example where Tier 1 is capped at 300 USDT at 20% APR: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r>
              <w:rPr>
                <w:b/>
                <w:color w:val="FFFFFF"/>
              </w:rPr>
              <w:t>Scenario</w:t>
            </w:r>
          </w:p>
        </w:tc>
        <w:tc>
          <w:tcPr>
            <w:tcW w:type="dxa" w:w="2880"/>
            <w:shd w:val="clear" w:color="auto" w:fill="4472C4"/>
          </w:tcPr>
          <w:p>
            <w:r>
              <w:rPr>
                <w:b/>
                <w:color w:val="FFFFFF"/>
              </w:rPr>
              <w:t>Subscriptions</w:t>
            </w:r>
          </w:p>
        </w:tc>
        <w:tc>
          <w:tcPr>
            <w:tcW w:type="dxa" w:w="2880"/>
            <w:shd w:val="clear" w:color="auto" w:fill="4472C4"/>
          </w:tcPr>
          <w:p>
            <w:r>
              <w:rPr>
                <w:b/>
                <w:color w:val="FFFFFF"/>
              </w:rPr>
              <w:t>Effective APR</w:t>
            </w:r>
          </w:p>
        </w:tc>
      </w:tr>
      <w:tr>
        <w:tc>
          <w:tcPr>
            <w:tcW w:type="dxa" w:w="2880"/>
          </w:tcPr>
          <w:p>
            <w:r>
              <w:t>Single subscription</w:t>
            </w:r>
          </w:p>
        </w:tc>
        <w:tc>
          <w:tcPr>
            <w:tcW w:type="dxa" w:w="2880"/>
          </w:tcPr>
          <w:p>
            <w:r>
              <w:t>1 × 300 USDT</w:t>
            </w:r>
          </w:p>
        </w:tc>
        <w:tc>
          <w:tcPr>
            <w:tcW w:type="dxa" w:w="2880"/>
          </w:tcPr>
          <w:p>
            <w:r>
              <w:t>300 USDT at 20%</w:t>
            </w:r>
          </w:p>
        </w:tc>
      </w:tr>
      <w:tr>
        <w:tc>
          <w:tcPr>
            <w:tcW w:type="dxa" w:w="2880"/>
          </w:tcPr>
          <w:p>
            <w:r>
              <w:t>Two subscriptions</w:t>
            </w:r>
          </w:p>
        </w:tc>
        <w:tc>
          <w:tcPr>
            <w:tcW w:type="dxa" w:w="2880"/>
          </w:tcPr>
          <w:p>
            <w:r>
              <w:t>2 × 300 USDT (600 total)</w:t>
            </w:r>
          </w:p>
        </w:tc>
        <w:tc>
          <w:tcPr>
            <w:tcW w:type="dxa" w:w="2880"/>
          </w:tcPr>
          <w:p>
            <w:r>
              <w:t>300 USDT at 20% + 300 USDT at 10%</w:t>
            </w:r>
          </w:p>
        </w:tc>
      </w:tr>
    </w:tbl>
    <w:p/>
    <w:p>
      <w:pPr>
        <w:pStyle w:val="Heading2"/>
      </w:pPr>
      <w:r>
        <w:t>2.2 Tier 1 Limits</w:t>
      </w:r>
    </w:p>
    <w:p>
      <w:r>
        <w:rPr>
          <w:b w:val="0"/>
          <w:i w:val="0"/>
        </w:rPr>
        <w:t>Higher rates are usually promotional or designated for new users. They are capped at small amounts to prevent large-scale exploitation of the best rates.</w:t>
      </w:r>
    </w:p>
    <w:p>
      <w:pPr>
        <w:pStyle w:val="Heading2"/>
      </w:pPr>
      <w:r>
        <w:t>2.3 Account-Wide Tracking</w:t>
      </w:r>
    </w:p>
    <w:p>
      <w:r>
        <w:rPr>
          <w:b w:val="0"/>
          <w:i w:val="0"/>
        </w:rPr>
        <w:t>The platform's system tracks the total principal in your account snapshots to determine the applicable tier for interest distribution. Opening additional subscriptions for the same asset does not reset or duplicate the Tier 1 allocation.</w:t>
      </w:r>
    </w:p>
    <w:p>
      <w:pPr>
        <w:pStyle w:val="Heading1"/>
      </w:pPr>
      <w:r>
        <w:t>3. Alternative Strategies to Maximise Yield</w:t>
      </w:r>
    </w:p>
    <w:p>
      <w:r>
        <w:rPr>
          <w:b w:val="0"/>
          <w:i w:val="0"/>
        </w:rPr>
        <w:t>If you want to deploy more capital at Tier 1 rates, consider the following strategies:</w:t>
      </w:r>
    </w:p>
    <w:p>
      <w:pPr>
        <w:pStyle w:val="ListBullet"/>
      </w:pPr>
      <w:r>
        <w:rPr>
          <w:b/>
        </w:rPr>
        <w:t>Diversify Assets:</w:t>
      </w:r>
      <w:r>
        <w:t xml:space="preserve"> Instead of concentrating all funds into one coin (e.g., USDT), split your capital across different assets that each carry their own independent Tier 1 limits — for example USDC, ETH, or SOL.</w:t>
      </w:r>
    </w:p>
    <w:p>
      <w:pPr>
        <w:pStyle w:val="ListBullet"/>
      </w:pPr>
      <w:r>
        <w:rPr>
          <w:b/>
        </w:rPr>
        <w:t>Use Sub-Accounts:</w:t>
      </w:r>
      <w:r>
        <w:t xml:space="preserve"> MEXC allows the creation of multiple sub-accounts for different trading strategies. Note, however, that Earn products may apply KYC-based limits that are tied to the primary account owner.</w:t>
      </w:r>
    </w:p>
    <w:p>
      <w:pPr>
        <w:pStyle w:val="ListBullet"/>
      </w:pPr>
      <w:r>
        <w:rPr>
          <w:b/>
        </w:rPr>
        <w:t>Check Promotions:</w:t>
      </w:r>
      <w:r>
        <w:t xml:space="preserve"> MEXC frequently runs time-limited "Exclusive for New Users" or "Locked Savings" events that offer higher fixed rates for specific short terms (e.g., 2-day or 7-day terms) that do not follow the standard tiering system.</w:t>
      </w:r>
    </w:p>
    <w:p>
      <w:pPr>
        <w:pStyle w:val="Heading1"/>
      </w:pPr>
      <w:r>
        <w:t>4. 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r>
              <w:rPr>
                <w:b/>
                <w:color w:val="FFFFFF"/>
              </w:rPr>
              <w:t>Question</w:t>
            </w:r>
          </w:p>
        </w:tc>
        <w:tc>
          <w:tcPr>
            <w:tcW w:type="dxa" w:w="4320"/>
            <w:shd w:val="clear" w:color="auto" w:fill="4472C4"/>
          </w:tcPr>
          <w:p>
            <w:r>
              <w:rPr>
                <w:b/>
                <w:color w:val="FFFFFF"/>
              </w:rPr>
              <w:t>Answer</w:t>
            </w:r>
          </w:p>
        </w:tc>
      </w:tr>
      <w:tr>
        <w:tc>
          <w:tcPr>
            <w:tcW w:type="dxa" w:w="4320"/>
          </w:tcPr>
          <w:p>
            <w:r>
              <w:t>Bypass tier limits via multiple subscriptions?</w:t>
            </w:r>
          </w:p>
        </w:tc>
        <w:tc>
          <w:tcPr>
            <w:tcW w:type="dxa" w:w="4320"/>
          </w:tcPr>
          <w:p>
            <w:r>
              <w:t>No — tiers are cumulative account-wide</w:t>
            </w:r>
          </w:p>
        </w:tc>
      </w:tr>
      <w:tr>
        <w:tc>
          <w:tcPr>
            <w:tcW w:type="dxa" w:w="4320"/>
            <w:shd w:val="clear" w:color="auto" w:fill="DCE6F1"/>
          </w:tcPr>
          <w:p>
            <w:r>
              <w:t>Does this apply to all exchanges?</w:t>
            </w:r>
          </w:p>
        </w:tc>
        <w:tc>
          <w:tcPr>
            <w:tcW w:type="dxa" w:w="4320"/>
            <w:shd w:val="clear" w:color="auto" w:fill="DCE6F1"/>
          </w:tcPr>
          <w:p>
            <w:r>
              <w:t>Yes — universal principle across MEXC, OKX, Binance, etc.</w:t>
            </w:r>
          </w:p>
        </w:tc>
      </w:tr>
      <w:tr>
        <w:tc>
          <w:tcPr>
            <w:tcW w:type="dxa" w:w="4320"/>
          </w:tcPr>
          <w:p>
            <w:r>
              <w:t>Best way to access more Tier 1 capital?</w:t>
            </w:r>
          </w:p>
        </w:tc>
        <w:tc>
          <w:tcPr>
            <w:tcW w:type="dxa" w:w="4320"/>
          </w:tcPr>
          <w:p>
            <w:r>
              <w:t>Diversify into other coins, use sub-accounts, watch promotions</w:t>
            </w:r>
          </w:p>
        </w:tc>
      </w:tr>
    </w:tbl>
    <w:p/>
    <w:p>
      <w:r>
        <w:rPr>
          <w:b w:val="0"/>
          <w:i/>
        </w:rPr>
        <w:t>Note: Exchange product details change frequently. Always verify current rates, tier limits, and promotional terms directly on the exchange before making financial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