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color w:val="1A3A5C"/>
          <w:sz w:val="32"/>
          <w:szCs w:val="32"/>
        </w:rPr>
        <w:t xml:space="preserve">Road Surface Damage Detection and Semantic Segmentation Using SegFormer Transformer Architecture with Real-Time Web-Based Deployment</w:t>
      </w:r>
    </w:p>
    <w:p>
      <w:pPr>
        <w:spacing w:after="80" w:before="0"/>
        <w:jc w:val="center"/>
      </w:pPr>
      <w:r>
        <w:rPr>
          <w:rFonts w:ascii="Times New Roman" w:cs="Times New Roman" w:eastAsia="Times New Roman" w:hAnsi="Times New Roman"/>
          <w:b/>
          <w:bCs/>
          <w:sz w:val="24"/>
          <w:szCs w:val="24"/>
        </w:rPr>
        <w:t xml:space="preserve">Rohini Badhe¹ and Vijay Khadse¹</w:t>
      </w:r>
    </w:p>
    <w:p>
      <w:pPr>
        <w:spacing w:after="80" w:before="0"/>
        <w:jc w:val="center"/>
      </w:pPr>
      <w:r>
        <w:rPr>
          <w:rFonts w:ascii="Times New Roman" w:cs="Times New Roman" w:eastAsia="Times New Roman" w:hAnsi="Times New Roman"/>
          <w:i/>
          <w:iCs/>
          <w:sz w:val="22"/>
          <w:szCs w:val="22"/>
        </w:rPr>
        <w:t xml:space="preserve">¹Department of Computer Engineering, COEP Technological University, Pune, Maharashtra 411005, India</w:t>
      </w:r>
    </w:p>
    <w:p>
      <w:pPr>
        <w:spacing w:after="80" w:before="0"/>
        <w:jc w:val="center"/>
      </w:pPr>
      <w:r>
        <w:rPr>
          <w:rFonts w:ascii="Times New Roman" w:cs="Times New Roman" w:eastAsia="Times New Roman" w:hAnsi="Times New Roman"/>
          <w:sz w:val="22"/>
          <w:szCs w:val="22"/>
        </w:rPr>
        <w:t xml:space="preserve">Corresponding author: rohini.badhe@coeptech.ac.in | vijay.khadse@coeptech.ac.in</w:t>
      </w:r>
    </w:p>
    <w:p>
      <w:pPr>
        <w:spacing w:after="200" w:before="100"/>
      </w:pPr>
      <w:r>
        <w:t xml:space="preserve"/>
      </w:r>
    </w:p>
    <w:p>
      <w:pPr>
        <w:spacing w:after="80" w:before="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Road infrastructure deterioration, manifested as longitudinal cracks, transverse cracks, alligator cracking, and potholes, poses significant hazards to transportation safety and imposes substantial economic burdens on municipal maintenance budgets. Conventional inspection protocols relying on trained personnel are labour-intensive, inconsistent, and unable to scale to network-level monitoring demands. This paper presents a comprehensive, end-to-end deep learning framework for road surface damage detection using the SegFormer Transformer architecture for pixel-level semantic segmentation. The proposed system integrates a hierarchical Mix Transformer (MiT-B2) encoder whose Efficient Self-Attention (ESA) layers reduce quadratic attention complexity from O(N²) to O(N²/R²) via sequence reduction, coupled with an All-MLP decoder that aggregates four-scale feature maps without convolution. Training employs a composite loss of Weighted Cross-Entropy and Soft Dice Loss to mitigate severe class imbalance (~82% background pixels), together with AdamW optimisation and cosine annealing with warm restarts. Evaluated on a curated dataset of 4,200 annotated road images spanning five damage classes (publicly accessible at https://github.com/rohini-badhe/road-damage-segformer), the model achieves a mean Intersection over Union (mIoU) of 74.4%, pixel accuracy of 91.2%, and a mean F1-score of 85.1% on the held-out test set, outperforming FCN-8s, U-Net, PSPNet, DeepLabv3+, and Swin-UNet baselines. A Flask-based web application provides authenticated image, video, and live webcam segmentation with colour-coded overlay visualisation at 38 ms per frame (26.3 FPS) on a single NVIDIA RTX 3080 GPU. Ablation studies confirm the individual contribution of the composite loss, learning rate schedule, data augmentation, and backbone scale.</w:t>
      </w:r>
    </w:p>
    <w:p>
      <w:pPr>
        <w:spacing w:after="80" w:before="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Road Damage Detection; SegFormer; Mix Transformer; Semantic Segmentation; Deep Learning; Intelligent Transportation Systems; Real-Time Inference; Pavement Inspection; Flask Deployment; Transfer Learning</w:t>
      </w:r>
    </w:p>
    <w:p>
      <w:pPr>
        <w:pBdr>
          <w:bottom w:val="single" w:color="1A3A5C" w:sz="6" w:space="1"/>
        </w:pBdr>
        <w:spacing w:after="200" w:before="120"/>
      </w:pPr>
      <w:r>
        <w:t xml:space="preserve"/>
      </w:r>
    </w:p>
    <w:p>
      <w:pPr>
        <w:pStyle w:val="Heading1"/>
        <w:spacing w:after="160" w:before="320"/>
      </w:pPr>
      <w:r>
        <w:rPr>
          <w:rFonts w:ascii="Times New Roman" w:cs="Times New Roman" w:eastAsia="Times New Roman" w:hAnsi="Times New Roman"/>
          <w:b/>
          <w:bCs/>
          <w:color w:val="1A3A5C"/>
          <w:sz w:val="28"/>
          <w:szCs w:val="28"/>
        </w:rPr>
        <w:t xml:space="preserve">1. Introduction</w:t>
      </w:r>
    </w:p>
    <w:p>
      <w:pPr>
        <w:spacing w:after="80" w:before="80" w:line="276"/>
        <w:ind/>
        <w:jc w:val="both"/>
      </w:pPr>
      <w:r>
        <w:rPr>
          <w:rFonts w:ascii="Times New Roman" w:cs="Times New Roman" w:eastAsia="Times New Roman" w:hAnsi="Times New Roman"/>
          <w:sz w:val="24"/>
          <w:szCs w:val="24"/>
        </w:rPr>
        <w:t xml:space="preserve">Road infrastructure constitutes the arterial network of modern economies, enabling the movement of goods and people across urban and rural environments. Road surfaces are exposed to relentless mechanical stress from axle loads, thermal cycling, freeze-thaw cycles, and water infiltration, causing progressive deterioration [1, 2]. Common manifestations include longitudinal cracks, transverse cracks, alligator (fatigue) cracking, delamination, and potholes. Undetected, these defects compound: a surface crack costing $400 to seal today may escalate to full-depth reconstruction exceeding $40,000 per lane-kilometre within five years [3].</w:t>
      </w:r>
    </w:p>
    <w:p>
      <w:pPr>
        <w:spacing w:after="80" w:before="80" w:line="276"/>
        <w:ind/>
        <w:jc w:val="both"/>
      </w:pPr>
      <w:r>
        <w:rPr>
          <w:rFonts w:ascii="Times New Roman" w:cs="Times New Roman" w:eastAsia="Times New Roman" w:hAnsi="Times New Roman"/>
          <w:sz w:val="24"/>
          <w:szCs w:val="24"/>
        </w:rPr>
        <w:t xml:space="preserve">Global transportation agencies estimate that road surface failures contribute to approximately 25% of traffic fatalities in middle-income countries and generate annual repair costs exceeding $100 billion worldwide [4]. Traditional assessment relies on trained inspectors, laser profilometers, and inertial road profilers computing the International Roughness Index (IRI) and Pavement Condition Index (PCI) [5]. These approaches are labour-intensive, expensive to scale, subject to inter-inspector variability, and unable to deliver continuous road condition data.</w:t>
      </w:r>
    </w:p>
    <w:p>
      <w:pPr>
        <w:spacing w:after="80" w:before="80" w:line="276"/>
        <w:ind/>
        <w:jc w:val="both"/>
      </w:pPr>
      <w:r>
        <w:rPr>
          <w:rFonts w:ascii="Times New Roman" w:cs="Times New Roman" w:eastAsia="Times New Roman" w:hAnsi="Times New Roman"/>
          <w:sz w:val="24"/>
          <w:szCs w:val="24"/>
        </w:rPr>
        <w:t xml:space="preserve">The emergence of low-cost high-resolution imaging sensors in smartphones, dashcams, and UAVs, combined with deep learning maturation, has enabled a new generation of automated, scalable road condition assessment systems. Semantic segmentation—the dense per-pixel class assignment task—is particularly suited to road damage analysis because it provides precise spatial localisation of damage regions rather than coarser bounding-box outputs, enabling downstream calculation of damaged area, severity, and spatial distribution [6].</w:t>
      </w:r>
    </w:p>
    <w:p>
      <w:pPr>
        <w:spacing w:after="80" w:before="80" w:line="276"/>
        <w:ind/>
        <w:jc w:val="both"/>
      </w:pPr>
      <w:r>
        <w:rPr>
          <w:rFonts w:ascii="Times New Roman" w:cs="Times New Roman" w:eastAsia="Times New Roman" w:hAnsi="Times New Roman"/>
          <w:sz w:val="24"/>
          <w:szCs w:val="24"/>
        </w:rPr>
        <w:t xml:space="preserve">CNN architectures have dominated image segmentation since Long et al. introduced Fully Convolutional Networks (FCN) [7]. Subsequent designs such as U-Net [8], SegNet [9], and DeepLabv3+ [10] achieved strong benchmark results. However, CNNs operate with local receptive fields, limiting their ability to model long-range spatial dependencies—particularly problematic for thin, elongated crack patterns that span the majority of an image.</w:t>
      </w:r>
    </w:p>
    <w:p>
      <w:pPr>
        <w:spacing w:after="80" w:before="80" w:line="276"/>
        <w:ind/>
        <w:jc w:val="both"/>
      </w:pPr>
      <w:r>
        <w:rPr>
          <w:rFonts w:ascii="Times New Roman" w:cs="Times New Roman" w:eastAsia="Times New Roman" w:hAnsi="Times New Roman"/>
          <w:sz w:val="24"/>
          <w:szCs w:val="24"/>
        </w:rPr>
        <w:t xml:space="preserve">The Vision Transformer (ViT) [11] demonstrated that global multi-head self-attention (MHSA) can model image-wide pixel relationships. Swin Transformer [12] introduced hierarchical windowed attention for efficient high-resolution processing. SegFormer [13]—the architecture adopted here—advances the field by: (i) eliminating positional encoding, improving robustness to resolution changes; (ii) employing Efficient Self-Attention (ESA) via sequence reduction; and (iii) using an All-MLP decoder that aggregates multi-scale features without convolutional layers. To the best of our knowledge, no prior work has presented a fully deployed, multi-modal SegFormer pipeline for road damage segmentation with systematic ablation validation. This paper addresses that gap.</w:t>
      </w:r>
    </w:p>
    <w:p>
      <w:pPr>
        <w:pStyle w:val="Heading2"/>
        <w:spacing w:after="120" w:before="240"/>
      </w:pPr>
      <w:r>
        <w:rPr>
          <w:rFonts w:ascii="Times New Roman" w:cs="Times New Roman" w:eastAsia="Times New Roman" w:hAnsi="Times New Roman"/>
          <w:b/>
          <w:bCs/>
          <w:color w:val="1A3A5C"/>
          <w:sz w:val="24"/>
          <w:szCs w:val="24"/>
        </w:rPr>
        <w:t xml:space="preserve">1.1 Motivation</w:t>
      </w:r>
    </w:p>
    <w:p>
      <w:pPr>
        <w:spacing w:after="80" w:before="80" w:line="276"/>
        <w:ind/>
        <w:jc w:val="both"/>
      </w:pPr>
      <w:r>
        <w:rPr>
          <w:rFonts w:ascii="Times New Roman" w:cs="Times New Roman" w:eastAsia="Times New Roman" w:hAnsi="Times New Roman"/>
          <w:sz w:val="24"/>
          <w:szCs w:val="24"/>
        </w:rPr>
        <w:t xml:space="preserve">Despite the clear public-safety and economic imperative, automated road damage segmentation at the pixel level remains an open problem. Existing deployments either sacrifice segmentation granularity for speed (object detection approaches) or lack real-world deployment infrastructure. The motivation for this work is threefold: (1) to adapt and validate the latest transformer-based segmentation architecture for road damage—a domain with severe class imbalance and diverse crack morphologies; (2) to design a practical composite training strategy that mitigates imbalance without manual hyperparameter tuning for each new dataset; and (3) to bridge the gap between offline research accuracy and production-ready deployment through an authenticated multi-modal web interface accessible to road maintenance engineers without deep learning expertise.</w:t>
      </w:r>
    </w:p>
    <w:p>
      <w:pPr>
        <w:pStyle w:val="Heading2"/>
        <w:spacing w:after="120" w:before="240"/>
      </w:pPr>
      <w:r>
        <w:rPr>
          <w:rFonts w:ascii="Times New Roman" w:cs="Times New Roman" w:eastAsia="Times New Roman" w:hAnsi="Times New Roman"/>
          <w:b/>
          <w:bCs/>
          <w:color w:val="1A3A5C"/>
          <w:sz w:val="24"/>
          <w:szCs w:val="24"/>
        </w:rPr>
        <w:t xml:space="preserve">1.2 Main Contributions</w:t>
      </w:r>
    </w:p>
    <w:p>
      <w:pPr>
        <w:spacing w:after="80" w:before="80" w:line="276"/>
        <w:ind/>
        <w:jc w:val="both"/>
      </w:pPr>
      <w:r>
        <w:rPr>
          <w:rFonts w:ascii="Times New Roman" w:cs="Times New Roman" w:eastAsia="Times New Roman" w:hAnsi="Times New Roman"/>
          <w:sz w:val="24"/>
          <w:szCs w:val="24"/>
        </w:rPr>
        <w:t xml:space="preserve">The principal contributions of this work are:</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complete fine-tuned implementation of SegFormer-B2 for road surface damage semantic segmentation across five damage categories, using ImageNet-1K pretrained weights and domain-adapted training. The dataset and trained model weights are publicly available at: </w:t>
      </w:r>
      <w:r>
        <w:rPr>
          <w:rFonts w:ascii="Times New Roman" w:cs="Times New Roman" w:eastAsia="Times New Roman" w:hAnsi="Times New Roman"/>
          <w:color w:val="1155CC"/>
          <w:sz w:val="24"/>
          <w:szCs w:val="24"/>
          <w:u w:val="single"/>
        </w:rPr>
        <w:t xml:space="preserve">https://github.com/rohini-badhe/road-damage-segformer</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composite Weighted Cross-Entropy and Soft Dice Loss formulation with analytically derived class weights, reducing the adverse effect of severe class imbalance on minority damage categories.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Integration of cosine annealing with warm restarts (SGDR) [25] and a comprehensive data augmentation policy (Albumentations [26]), demonstrating measurable mIoU gains in ablation experiments.</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production-ready Flask web application supporting JWT-authenticated image upload, video processing, and live WebSocket webcam segmentation at 38 ms per frame with colour-coded damage overlay visualisation.</w:t>
      </w:r>
    </w:p>
    <w:p>
      <w:pPr>
        <w:pStyle w:val="ListParagraph"/>
        <w:numPr>
          <w:ilvl w:val="0"/>
          <w:numId w:val="2"/>
        </w:numPr>
        <w:spacing w:after="60" w:before="60" w:line="276"/>
        <w:jc w:val="both"/>
      </w:pPr>
      <w:r>
        <w:rPr>
          <w:rFonts w:ascii="Times New Roman" w:cs="Times New Roman" w:eastAsia="Times New Roman" w:hAnsi="Times New Roman"/>
          <w:sz w:val="24"/>
          <w:szCs w:val="24"/>
        </w:rPr>
        <w:t xml:space="preserve">A systematic ablation study quantifying the contribution of each design component, and a complexity analysis demonstrating the computational advantages of ESA over standard MHSA.</w:t>
      </w:r>
    </w:p>
    <w:p>
      <w:pPr>
        <w:pStyle w:val="Heading2"/>
        <w:spacing w:after="120" w:before="240"/>
      </w:pPr>
      <w:r>
        <w:rPr>
          <w:rFonts w:ascii="Times New Roman" w:cs="Times New Roman" w:eastAsia="Times New Roman" w:hAnsi="Times New Roman"/>
          <w:b/>
          <w:bCs/>
          <w:color w:val="1A3A5C"/>
          <w:sz w:val="24"/>
          <w:szCs w:val="24"/>
        </w:rPr>
        <w:t xml:space="preserve">1.3 Paper Organisation</w:t>
      </w:r>
    </w:p>
    <w:p>
      <w:pPr>
        <w:spacing w:after="80" w:before="80" w:line="276"/>
        <w:ind/>
        <w:jc w:val="both"/>
      </w:pPr>
      <w:r>
        <w:rPr>
          <w:rFonts w:ascii="Times New Roman" w:cs="Times New Roman" w:eastAsia="Times New Roman" w:hAnsi="Times New Roman"/>
          <w:sz w:val="24"/>
          <w:szCs w:val="24"/>
        </w:rPr>
        <w:t xml:space="preserve">Section 2 reviews related work. Section 3 describes the dataset and preprocessing. Section 4 presents the complete methodology with flowchart and algorithmic detail. Section 5 reports quantitative and qualitative experimental results. Section 6 details the deployment framework. Section 7 presents ablation studies. Section 8 discusses limitations. Section 9 outlines future directions. Section 10 concludes the paper.</w:t>
      </w:r>
    </w:p>
    <w:p>
      <w:pPr>
        <w:pStyle w:val="Heading1"/>
        <w:spacing w:after="160" w:before="320"/>
      </w:pPr>
      <w:r>
        <w:rPr>
          <w:rFonts w:ascii="Times New Roman" w:cs="Times New Roman" w:eastAsia="Times New Roman" w:hAnsi="Times New Roman"/>
          <w:b/>
          <w:bCs/>
          <w:color w:val="1A3A5C"/>
          <w:sz w:val="28"/>
          <w:szCs w:val="28"/>
        </w:rPr>
        <w:t xml:space="preserve">2. Related Work</w:t>
      </w:r>
    </w:p>
    <w:p>
      <w:pPr>
        <w:pStyle w:val="Heading2"/>
        <w:spacing w:after="120" w:before="240"/>
      </w:pPr>
      <w:r>
        <w:rPr>
          <w:rFonts w:ascii="Times New Roman" w:cs="Times New Roman" w:eastAsia="Times New Roman" w:hAnsi="Times New Roman"/>
          <w:b/>
          <w:bCs/>
          <w:color w:val="1A3A5C"/>
          <w:sz w:val="24"/>
          <w:szCs w:val="24"/>
        </w:rPr>
        <w:t xml:space="preserve">2.1 Traditional and Handcrafted Methods</w:t>
      </w:r>
    </w:p>
    <w:p>
      <w:pPr>
        <w:spacing w:after="80" w:before="80" w:line="276"/>
        <w:ind/>
        <w:jc w:val="both"/>
      </w:pPr>
      <w:r>
        <w:rPr>
          <w:rFonts w:ascii="Times New Roman" w:cs="Times New Roman" w:eastAsia="Times New Roman" w:hAnsi="Times New Roman"/>
          <w:sz w:val="24"/>
          <w:szCs w:val="24"/>
        </w:rPr>
        <w:t xml:space="preserve">Early automated pavement inspection systems were built around handcrafted feature extraction pipelines. Huang and Xu applied Gabor filter banks with thresholding to detect crack-like textures [14]. Morphological operations, edge detectors (Sobel, Canny), and watershed segmentation were used to isolate crack contours [15]. Shi et al. employed active contour models guided by pavement texture gradients [16]. While computationally lightweight, these methods are acutely sensitive to illumination variation, shadow overlap, and surface staining, yielding poor generalisation to diverse road conditions encountered in practice. Zhang et al. [17] further demonstrated that classical texture features fail to distinguish between oil stains and longitudinal cracks under varying weather conditions.</w:t>
      </w:r>
    </w:p>
    <w:p>
      <w:pPr>
        <w:pStyle w:val="Heading2"/>
        <w:spacing w:after="120" w:before="240"/>
      </w:pPr>
      <w:r>
        <w:rPr>
          <w:rFonts w:ascii="Times New Roman" w:cs="Times New Roman" w:eastAsia="Times New Roman" w:hAnsi="Times New Roman"/>
          <w:b/>
          <w:bCs/>
          <w:color w:val="1A3A5C"/>
          <w:sz w:val="24"/>
          <w:szCs w:val="24"/>
        </w:rPr>
        <w:t xml:space="preserve">2.2 CNN-Based Deep Learning Approaches</w:t>
      </w:r>
    </w:p>
    <w:p>
      <w:pPr>
        <w:spacing w:after="80" w:before="80" w:line="276"/>
        <w:ind/>
        <w:jc w:val="both"/>
      </w:pPr>
      <w:r>
        <w:rPr>
          <w:rFonts w:ascii="Times New Roman" w:cs="Times New Roman" w:eastAsia="Times New Roman" w:hAnsi="Times New Roman"/>
          <w:sz w:val="24"/>
          <w:szCs w:val="24"/>
        </w:rPr>
        <w:t xml:space="preserve">The adaptation of deep CNNs fundamentally transformed the field. FCN-8s established dense per-pixel prediction from learned features [7]. U-Net [8], with its symmetric encoder-decoder and skip connections, was adapted for crack detection by Zou et al. [18], achieving strong boundary preservation. Liu et al. proposed DeepCrack [1], a multi-scale CNN capturing crack features at four resolution levels. DeepLabv3+ [10] employs Atrous Spatial Pyramid Pooling (ASPP) to enlarge receptive fields. PSPNet [19] aggregates global context via pooling at multiple scales. Yang et al. benchmarked eleven CNN architectures on pavement distress datasets [20], demonstrating encoder-decoder networks with skip connections consistently outperform alternatives for thin crack structures. Fan et al. introduced a real-time bilateral segmentation network achieving 105 FPS [21]. Nguyen et al. [22] proposed a lightweight MobileNet-based decoder achieving competitive accuracy at reduced computational cost, demonstrating that parameter efficiency is achievable without sacrificing segmentation quality.</w:t>
      </w:r>
    </w:p>
    <w:p>
      <w:pPr>
        <w:spacing w:after="80" w:before="80" w:line="276"/>
        <w:ind/>
        <w:jc w:val="both"/>
      </w:pPr>
      <w:r>
        <w:rPr>
          <w:rFonts w:ascii="Times New Roman" w:cs="Times New Roman" w:eastAsia="Times New Roman" w:hAnsi="Times New Roman"/>
          <w:sz w:val="24"/>
          <w:szCs w:val="24"/>
        </w:rPr>
        <w:t xml:space="preserve">Despite these advances, CNNs inherently suffer from limited receptive fields constrained by kernel size, preventing the capture of long-range spatial dependencies critical for detecting widely distributed fatigue cracking patterns. Dilated convolutions and ASPP partially address this, but quadratic parameter growth with depth limits scalability.</w:t>
      </w:r>
    </w:p>
    <w:p>
      <w:pPr>
        <w:pStyle w:val="Heading2"/>
        <w:spacing w:after="120" w:before="240"/>
      </w:pPr>
      <w:r>
        <w:rPr>
          <w:rFonts w:ascii="Times New Roman" w:cs="Times New Roman" w:eastAsia="Times New Roman" w:hAnsi="Times New Roman"/>
          <w:b/>
          <w:bCs/>
          <w:color w:val="1A3A5C"/>
          <w:sz w:val="24"/>
          <w:szCs w:val="24"/>
        </w:rPr>
        <w:t xml:space="preserve">2.3 Transformer-Based Segmentation</w:t>
      </w:r>
    </w:p>
    <w:p>
      <w:pPr>
        <w:spacing w:after="80" w:before="80" w:line="276"/>
        <w:ind/>
        <w:jc w:val="both"/>
      </w:pPr>
      <w:r>
        <w:rPr>
          <w:rFonts w:ascii="Times New Roman" w:cs="Times New Roman" w:eastAsia="Times New Roman" w:hAnsi="Times New Roman"/>
          <w:sz w:val="24"/>
          <w:szCs w:val="24"/>
        </w:rPr>
        <w:t xml:space="preserve">ViT demonstrated that global MHSA can model image-wide pixel relationships [11]. SETR adapted ViT for segmentation via progressive upsampling decoders [23], while DPT assembled multi-scale representations from ViT tokens [24]. Swin Transformer introduced hierarchical windowed attention with shifted windows [12]. SegFormer combined a hierarchical MiT encoder with an All-MLP decoder [13]. Zhang et al. applied SegFormer-B2 to remote sensing road extraction [27], and Bai et al. used transformer encoders for crack width estimation [28]. Wang et al. [29] proposed TransRoad, combining deformable attention with CNN features for road damage detection, reporting 72.1% mIoU on their private dataset. However, no prior work presents a fully deployed, multi-modal inference system for road damage segmentation using SegFormer with comprehensive ablation validation over five damage categories.</w:t>
      </w:r>
    </w:p>
    <w:p>
      <w:pPr>
        <w:pStyle w:val="Heading2"/>
        <w:spacing w:after="120" w:before="240"/>
      </w:pPr>
      <w:r>
        <w:rPr>
          <w:rFonts w:ascii="Times New Roman" w:cs="Times New Roman" w:eastAsia="Times New Roman" w:hAnsi="Times New Roman"/>
          <w:b/>
          <w:bCs/>
          <w:color w:val="1A3A5C"/>
          <w:sz w:val="24"/>
          <w:szCs w:val="24"/>
        </w:rPr>
        <w:t xml:space="preserve">2.4 Road Damage Datasets and Benchmarks</w:t>
      </w:r>
    </w:p>
    <w:p>
      <w:pPr>
        <w:spacing w:after="80" w:before="80" w:line="276"/>
        <w:ind/>
        <w:jc w:val="both"/>
      </w:pPr>
      <w:r>
        <w:rPr>
          <w:rFonts w:ascii="Times New Roman" w:cs="Times New Roman" w:eastAsia="Times New Roman" w:hAnsi="Times New Roman"/>
          <w:sz w:val="24"/>
          <w:szCs w:val="24"/>
        </w:rPr>
        <w:t xml:space="preserve">Maeda et al. released the first large-scale crowdsourced road damage dataset comprising 9,053 images from Japan [30]. Arya et al. extended this to a multinational benchmark across India, Japan, and the Czech Republic [31]. CrackForest provides 118 images with pixel-level crack annotations [16]. Eisenbach et al. introduced the RCD dataset with 12 distress categories [32]. Compared to existing benchmarks, our curated dataset provides fine-grained pixel-level multi-class annotation aligned with standard pavement distress taxonomy, with higher inter-annotator agreement (Cohen's κ = 0.83) and greater environmental diversity covering urban, suburban, and expressway contexts across three geographic regions of India.</w:t>
      </w:r>
    </w:p>
    <w:p>
      <w:pPr>
        <w:pStyle w:val="Heading2"/>
        <w:spacing w:after="120" w:before="240"/>
      </w:pPr>
      <w:r>
        <w:rPr>
          <w:rFonts w:ascii="Times New Roman" w:cs="Times New Roman" w:eastAsia="Times New Roman" w:hAnsi="Times New Roman"/>
          <w:b/>
          <w:bCs/>
          <w:color w:val="1A3A5C"/>
          <w:sz w:val="24"/>
          <w:szCs w:val="24"/>
        </w:rPr>
        <w:t xml:space="preserve">2.5 Comparative Summary</w:t>
      </w:r>
    </w:p>
    <w:p>
      <w:pPr>
        <w:spacing w:after="80" w:before="80" w:line="276"/>
        <w:ind/>
        <w:jc w:val="both"/>
      </w:pPr>
      <w:r>
        <w:rPr>
          <w:rFonts w:ascii="Times New Roman" w:cs="Times New Roman" w:eastAsia="Times New Roman" w:hAnsi="Times New Roman"/>
          <w:sz w:val="24"/>
          <w:szCs w:val="24"/>
        </w:rPr>
        <w:t xml:space="preserve">Table 1 summarises the key distinctions between the proposed approach and representative existing methods.</w:t>
      </w:r>
    </w:p>
    <w:p>
      <w:pPr>
        <w:spacing w:after="160" w:before="80"/>
        <w:jc w:val="center"/>
      </w:pPr>
      <w:r>
        <w:rPr>
          <w:rFonts w:ascii="Times New Roman" w:cs="Times New Roman" w:eastAsia="Times New Roman" w:hAnsi="Times New Roman"/>
          <w:i/>
          <w:iCs/>
          <w:sz w:val="22"/>
          <w:szCs w:val="22"/>
        </w:rPr>
        <w:t xml:space="preserve">Table 1: Comparison of selected road damage detection methods.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600"/>
        <w:gridCol w:w="1500"/>
        <w:gridCol w:w="1500"/>
        <w:gridCol w:w="772"/>
      </w:tblGrid>
      <w:tr>
        <w:trPr>
          <w:tblHeader/>
        </w:trPr>
        <w:tc>
          <w:tcPr>
            <w:tcW w:type="dxa" w:w="20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Architecture</w:t>
            </w:r>
          </w:p>
        </w:tc>
        <w:tc>
          <w:tcPr>
            <w:tcW w:type="dxa" w:w="16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mIoU (%)</w:t>
            </w:r>
          </w:p>
        </w:tc>
        <w:tc>
          <w:tcPr>
            <w:tcW w:type="dxa" w:w="15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Classes</w:t>
            </w:r>
          </w:p>
        </w:tc>
        <w:tc>
          <w:tcPr>
            <w:tcW w:type="dxa" w:w="15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Deployment</w:t>
            </w:r>
          </w:p>
        </w:tc>
        <w:tc>
          <w:tcPr>
            <w:tcW w:type="dxa" w:w="7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Year</w:t>
            </w:r>
          </w:p>
        </w:tc>
      </w:tr>
      <w:tr>
        <w:tc>
          <w:tcPr>
            <w:tcW w:type="dxa" w:w="20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FCN-8s [7]</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VGG-16</w:t>
            </w:r>
          </w:p>
        </w:tc>
        <w:tc>
          <w:tcPr>
            <w:tcW w:type="dxa" w:w="16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52.1</w:t>
            </w:r>
          </w:p>
        </w:tc>
        <w:tc>
          <w:tcPr>
            <w:tcW w:type="dxa" w:w="1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7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2015</w:t>
            </w:r>
          </w:p>
        </w:tc>
      </w:tr>
      <w:tr>
        <w:tc>
          <w:tcPr>
            <w:tcW w:type="dxa" w:w="20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DeepLabv3+ [10]</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ResNet-101</w:t>
            </w:r>
          </w:p>
        </w:tc>
        <w:tc>
          <w:tcPr>
            <w:tcW w:type="dxa" w:w="16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68.9</w:t>
            </w:r>
          </w:p>
        </w:tc>
        <w:tc>
          <w:tcPr>
            <w:tcW w:type="dxa" w:w="1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7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2018</w:t>
            </w:r>
          </w:p>
        </w:tc>
      </w:tr>
      <w:tr>
        <w:tc>
          <w:tcPr>
            <w:tcW w:type="dxa" w:w="20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Swin-UNet [12]</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Swin-T</w:t>
            </w:r>
          </w:p>
        </w:tc>
        <w:tc>
          <w:tcPr>
            <w:tcW w:type="dxa" w:w="16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71.2</w:t>
            </w:r>
          </w:p>
        </w:tc>
        <w:tc>
          <w:tcPr>
            <w:tcW w:type="dxa" w:w="1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7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2021</w:t>
            </w:r>
          </w:p>
        </w:tc>
      </w:tr>
      <w:tr>
        <w:tc>
          <w:tcPr>
            <w:tcW w:type="dxa" w:w="20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TransRoad [29]</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Deformable ViT</w:t>
            </w:r>
          </w:p>
        </w:tc>
        <w:tc>
          <w:tcPr>
            <w:tcW w:type="dxa" w:w="16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72.1</w:t>
            </w:r>
          </w:p>
        </w:tc>
        <w:tc>
          <w:tcPr>
            <w:tcW w:type="dxa" w:w="1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No</w:t>
            </w:r>
          </w:p>
        </w:tc>
        <w:tc>
          <w:tcPr>
            <w:tcW w:type="dxa" w:w="7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2023</w:t>
            </w:r>
          </w:p>
        </w:tc>
      </w:tr>
      <w:tr>
        <w:tc>
          <w:tcPr>
            <w:tcW w:type="dxa" w:w="2000"/>
            <w:tcBorders>
              <w:top w:val="single" w:color="2C3E50" w:sz="4"/>
              <w:left w:val="single" w:color="2C3E50" w:sz="4"/>
              <w:bottom w:val="single" w:color="2C3E50" w:sz="4"/>
              <w:right w:val="single" w:color="2C3E50" w:sz="4"/>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Proposed (SegFormer-B2)</w:t>
            </w:r>
          </w:p>
        </w:tc>
        <w:tc>
          <w:tcPr>
            <w:tcW w:type="dxa" w:w="1700"/>
            <w:tcBorders>
              <w:top w:val="single" w:color="2C3E50" w:sz="4"/>
              <w:left w:val="single" w:color="2C3E50" w:sz="4"/>
              <w:bottom w:val="single" w:color="2C3E50" w:sz="4"/>
              <w:right w:val="single" w:color="2C3E50" w:sz="4"/>
            </w:tcBorders>
            <w:shd w:fill="D5E8F0"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MiT-B2</w:t>
            </w:r>
          </w:p>
        </w:tc>
        <w:tc>
          <w:tcPr>
            <w:tcW w:type="dxa" w:w="1600"/>
            <w:tcBorders>
              <w:top w:val="single" w:color="2C3E50" w:sz="4"/>
              <w:left w:val="single" w:color="2C3E50" w:sz="4"/>
              <w:bottom w:val="single" w:color="2C3E50" w:sz="4"/>
              <w:right w:val="single" w:color="2C3E50"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74.4</w:t>
            </w:r>
          </w:p>
        </w:tc>
        <w:tc>
          <w:tcPr>
            <w:tcW w:type="dxa" w:w="1500"/>
            <w:tcBorders>
              <w:top w:val="single" w:color="2C3E50" w:sz="4"/>
              <w:left w:val="single" w:color="2C3E50" w:sz="4"/>
              <w:bottom w:val="single" w:color="2C3E50" w:sz="4"/>
              <w:right w:val="single" w:color="2C3E50"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500"/>
            <w:tcBorders>
              <w:top w:val="single" w:color="2C3E50" w:sz="4"/>
              <w:left w:val="single" w:color="2C3E50" w:sz="4"/>
              <w:bottom w:val="single" w:color="2C3E50" w:sz="4"/>
              <w:right w:val="single" w:color="2C3E50"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Yes (Flask)</w:t>
            </w:r>
          </w:p>
        </w:tc>
        <w:tc>
          <w:tcPr>
            <w:tcW w:type="dxa" w:w="772"/>
            <w:tcBorders>
              <w:top w:val="single" w:color="2C3E50" w:sz="4"/>
              <w:left w:val="single" w:color="2C3E50" w:sz="4"/>
              <w:bottom w:val="single" w:color="2C3E50" w:sz="4"/>
              <w:right w:val="single" w:color="2C3E50" w:sz="4"/>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2024</w:t>
            </w:r>
          </w:p>
        </w:tc>
      </w:tr>
    </w:tbl>
    <w:p>
      <w:pPr>
        <w:spacing w:after="0" w:before="180"/>
      </w:pPr>
      <w:r>
        <w:t xml:space="preserve"/>
      </w:r>
    </w:p>
    <w:p>
      <w:pPr>
        <w:pStyle w:val="Heading1"/>
        <w:spacing w:after="160" w:before="320"/>
      </w:pPr>
      <w:r>
        <w:rPr>
          <w:rFonts w:ascii="Times New Roman" w:cs="Times New Roman" w:eastAsia="Times New Roman" w:hAnsi="Times New Roman"/>
          <w:b/>
          <w:bCs/>
          <w:color w:val="1A3A5C"/>
          <w:sz w:val="28"/>
          <w:szCs w:val="28"/>
        </w:rPr>
        <w:t xml:space="preserve">3. Dataset and Preprocessing</w:t>
      </w:r>
    </w:p>
    <w:p>
      <w:pPr>
        <w:pStyle w:val="Heading2"/>
        <w:spacing w:after="120" w:before="240"/>
      </w:pPr>
      <w:r>
        <w:rPr>
          <w:rFonts w:ascii="Times New Roman" w:cs="Times New Roman" w:eastAsia="Times New Roman" w:hAnsi="Times New Roman"/>
          <w:b/>
          <w:bCs/>
          <w:color w:val="1A3A5C"/>
          <w:sz w:val="24"/>
          <w:szCs w:val="24"/>
        </w:rPr>
        <w:t xml:space="preserve">3.1 Dataset Composition and Availability</w:t>
      </w:r>
    </w:p>
    <w:p>
      <w:pPr>
        <w:spacing w:after="80" w:before="80" w:line="276"/>
        <w:ind/>
        <w:jc w:val="both"/>
      </w:pPr>
      <w:r>
        <w:rPr>
          <w:rFonts w:ascii="Times New Roman" w:cs="Times New Roman" w:eastAsia="Times New Roman" w:hAnsi="Times New Roman"/>
          <w:sz w:val="24"/>
          <w:szCs w:val="24"/>
        </w:rPr>
        <w:t xml:space="preserve">The dataset comprises 4,200 high-resolution road surface images collected from urban, suburban, and expressway road networks across three geographic regions of India. The complete dataset, including annotation masks, label definitions, and pretrained model weights, is publicly available at: </w:t>
      </w:r>
      <w:r>
        <w:rPr>
          <w:rFonts w:ascii="Times New Roman" w:cs="Times New Roman" w:eastAsia="Times New Roman" w:hAnsi="Times New Roman"/>
          <w:color w:val="1155CC"/>
          <w:sz w:val="24"/>
          <w:szCs w:val="24"/>
          <w:u w:val="single"/>
        </w:rPr>
        <w:t xml:space="preserve">https://github.com/rohini-badhe/road-damage-segformer</w:t>
      </w:r>
      <w:r>
        <w:rPr>
          <w:rFonts w:ascii="Times New Roman" w:cs="Times New Roman" w:eastAsia="Times New Roman" w:hAnsi="Times New Roman"/>
          <w:sz w:val="24"/>
          <w:szCs w:val="24"/>
        </w:rPr>
        <w:t xml:space="preserve">. Images were captured using dashboard-mounted cameras (Sony IMX586, 4K resolution) and DJI Phantom 4 Pro UAV sensors under diverse lighting conditions (daylight, dusk, overcast) and seasonal states (dry, wet, post-monsoon). Each image was independently annotated by two trained annotators using the Labelme polygon annotation tool, with disagreements resolved by a domain expert. Inter-annotator agreement measured by mean pixel-level Cohen’s κ is 0.83, indicating strong agreement. Each pixel is assigned to one of five mutually exclusive classes: (0) Background, (1) Longitudinal Crack, (2) Transverse Crack, (3) Alligator/Fatigue Crack, and (4) Pothole.</w:t>
      </w:r>
    </w:p>
    <w:p>
      <w:pPr>
        <w:pStyle w:val="Heading2"/>
        <w:spacing w:after="120" w:before="240"/>
      </w:pPr>
      <w:r>
        <w:rPr>
          <w:rFonts w:ascii="Times New Roman" w:cs="Times New Roman" w:eastAsia="Times New Roman" w:hAnsi="Times New Roman"/>
          <w:b/>
          <w:bCs/>
          <w:color w:val="1A3A5C"/>
          <w:sz w:val="24"/>
          <w:szCs w:val="24"/>
        </w:rPr>
        <w:t xml:space="preserve">3.2 Class Imbalance Analysis</w:t>
      </w:r>
    </w:p>
    <w:p>
      <w:pPr>
        <w:spacing w:after="80" w:before="80" w:line="276"/>
        <w:ind/>
        <w:jc w:val="both"/>
      </w:pPr>
      <w:r>
        <w:rPr>
          <w:rFonts w:ascii="Times New Roman" w:cs="Times New Roman" w:eastAsia="Times New Roman" w:hAnsi="Times New Roman"/>
          <w:sz w:val="24"/>
          <w:szCs w:val="24"/>
        </w:rPr>
        <w:t xml:space="preserve">The dataset exhibits severe class imbalance: background pixels constitute 82.03% of all labelled pixels, while pothole pixels account for only 2.00%. The class weight for class c is derived as the inverse normalised frequency:</w:t>
      </w:r>
    </w:p>
    <w:p>
      <w:pPr>
        <w:spacing w:after="120" w:before="120"/>
        <w:jc w:val="center"/>
      </w:pPr>
      <w:r>
        <w:rPr>
          <w:rFonts w:ascii="Cambria Math" w:cs="Cambria Math" w:eastAsia="Cambria Math" w:hAnsi="Cambria Math"/>
          <w:sz w:val="24"/>
          <w:szCs w:val="24"/>
        </w:rPr>
        <w:t xml:space="preserve">w_c = f̅ / f_c,     f̅ = (1/C) Σᴼ f_j     (Eq. 1)</w:t>
      </w:r>
    </w:p>
    <w:p>
      <w:pPr>
        <w:spacing w:after="80" w:before="80" w:line="276"/>
        <w:ind/>
        <w:jc w:val="both"/>
      </w:pPr>
      <w:r>
        <w:rPr>
          <w:rFonts w:ascii="Times New Roman" w:cs="Times New Roman" w:eastAsia="Times New Roman" w:hAnsi="Times New Roman"/>
          <w:sz w:val="24"/>
          <w:szCs w:val="24"/>
        </w:rPr>
        <w:t xml:space="preserve">where f_c is the pixel frequency of class c in the training set and f̅ is the mean frequency. Table 2 summarises the annotation colour map and derived class weights.</w:t>
      </w:r>
    </w:p>
    <w:p>
      <w:pPr>
        <w:spacing w:after="160" w:before="80"/>
        <w:jc w:val="center"/>
      </w:pPr>
      <w:r>
        <w:rPr>
          <w:rFonts w:ascii="Times New Roman" w:cs="Times New Roman" w:eastAsia="Times New Roman" w:hAnsi="Times New Roman"/>
          <w:i/>
          <w:iCs/>
          <w:sz w:val="22"/>
          <w:szCs w:val="22"/>
        </w:rPr>
        <w:t xml:space="preserve">Table 2: Annotation colour map and derived class weights for five road damage categories.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1700"/>
        <w:gridCol w:w="1800"/>
        <w:gridCol w:w="2352"/>
      </w:tblGrid>
      <w:tr>
        <w:trPr>
          <w:tblHeader/>
        </w:trPr>
        <w:tc>
          <w:tcPr>
            <w:tcW w:type="dxa" w:w="72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ID</w:t>
            </w:r>
          </w:p>
        </w:tc>
        <w:tc>
          <w:tcPr>
            <w:tcW w:type="dxa" w:w="25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Class</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Freq. (%)</w:t>
            </w:r>
          </w:p>
        </w:tc>
        <w:tc>
          <w:tcPr>
            <w:tcW w:type="dxa" w:w="18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Weight wc</w:t>
            </w:r>
          </w:p>
        </w:tc>
        <w:tc>
          <w:tcPr>
            <w:tcW w:type="dxa" w:w="235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Overlay Colour</w:t>
            </w:r>
          </w:p>
        </w:tc>
      </w:tr>
      <w:tr>
        <w:tc>
          <w:tcPr>
            <w:tcW w:type="dxa" w:w="72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Background</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82.03</w:t>
            </w:r>
          </w:p>
        </w:tc>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235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Transparent</w:t>
            </w:r>
          </w:p>
        </w:tc>
      </w:tr>
      <w:tr>
        <w:tc>
          <w:tcPr>
            <w:tcW w:type="dxa" w:w="72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Longitudinal Crack</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7.38</w:t>
            </w:r>
          </w:p>
        </w:tc>
        <w:tc>
          <w:tcPr>
            <w:tcW w:type="dxa" w:w="18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3.62</w:t>
            </w:r>
          </w:p>
        </w:tc>
        <w:tc>
          <w:tcPr>
            <w:tcW w:type="dxa" w:w="235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Red</w:t>
            </w:r>
          </w:p>
        </w:tc>
      </w:tr>
      <w:tr>
        <w:tc>
          <w:tcPr>
            <w:tcW w:type="dxa" w:w="72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Transverse Crack</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5.12</w:t>
            </w:r>
          </w:p>
        </w:tc>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5.22</w:t>
            </w:r>
          </w:p>
        </w:tc>
        <w:tc>
          <w:tcPr>
            <w:tcW w:type="dxa" w:w="235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Green</w:t>
            </w:r>
          </w:p>
        </w:tc>
      </w:tr>
      <w:tr>
        <w:tc>
          <w:tcPr>
            <w:tcW w:type="dxa" w:w="72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Alligator Crack</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3.47</w:t>
            </w:r>
          </w:p>
        </w:tc>
        <w:tc>
          <w:tcPr>
            <w:tcW w:type="dxa" w:w="18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7.71</w:t>
            </w:r>
          </w:p>
        </w:tc>
        <w:tc>
          <w:tcPr>
            <w:tcW w:type="dxa" w:w="235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Blue</w:t>
            </w:r>
          </w:p>
        </w:tc>
      </w:tr>
      <w:tr>
        <w:tc>
          <w:tcPr>
            <w:tcW w:type="dxa" w:w="72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Pothole</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2.00</w:t>
            </w:r>
          </w:p>
        </w:tc>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13.36</w:t>
            </w:r>
          </w:p>
        </w:tc>
        <w:tc>
          <w:tcPr>
            <w:tcW w:type="dxa" w:w="235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Yellow</w:t>
            </w:r>
          </w:p>
        </w:tc>
      </w:tr>
    </w:tbl>
    <w:p>
      <w:pPr>
        <w:spacing w:after="0" w:before="120"/>
      </w:pPr>
      <w:r>
        <w:t xml:space="preserve"/>
      </w:r>
    </w:p>
    <w:p>
      <w:pPr>
        <w:pStyle w:val="Heading2"/>
        <w:spacing w:after="120" w:before="240"/>
      </w:pPr>
      <w:r>
        <w:rPr>
          <w:rFonts w:ascii="Times New Roman" w:cs="Times New Roman" w:eastAsia="Times New Roman" w:hAnsi="Times New Roman"/>
          <w:b/>
          <w:bCs/>
          <w:color w:val="1A3A5C"/>
          <w:sz w:val="24"/>
          <w:szCs w:val="24"/>
        </w:rPr>
        <w:t xml:space="preserve">3.3 Dataset Splits and Statistics</w:t>
      </w:r>
    </w:p>
    <w:p>
      <w:pPr>
        <w:spacing w:after="80" w:before="80" w:line="276"/>
        <w:ind/>
        <w:jc w:val="both"/>
      </w:pPr>
      <w:r>
        <w:rPr>
          <w:rFonts w:ascii="Times New Roman" w:cs="Times New Roman" w:eastAsia="Times New Roman" w:hAnsi="Times New Roman"/>
          <w:sz w:val="24"/>
          <w:szCs w:val="24"/>
        </w:rPr>
        <w:t xml:space="preserve">The dataset is split stratified by road type (urban/expressway/rural) and damage severity (mild/moderate/severe). Table 3 summarises partition statistics.</w:t>
      </w:r>
    </w:p>
    <w:p>
      <w:pPr>
        <w:spacing w:after="160" w:before="80"/>
        <w:jc w:val="center"/>
      </w:pPr>
      <w:r>
        <w:rPr>
          <w:rFonts w:ascii="Times New Roman" w:cs="Times New Roman" w:eastAsia="Times New Roman" w:hAnsi="Times New Roman"/>
          <w:i/>
          <w:iCs/>
          <w:sz w:val="22"/>
          <w:szCs w:val="22"/>
        </w:rPr>
        <w:t xml:space="preserve">Table 3: Dataset partition statistics.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1800"/>
        <w:gridCol w:w="2072"/>
      </w:tblGrid>
      <w:tr>
        <w:trPr>
          <w:tblHeader/>
        </w:trPr>
        <w:tc>
          <w:tcPr>
            <w:tcW w:type="dxa" w:w="18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Split</w:t>
            </w:r>
          </w:p>
        </w:tc>
        <w:tc>
          <w:tcPr>
            <w:tcW w:type="dxa" w:w="14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Images</w:t>
            </w:r>
          </w:p>
        </w:tc>
        <w:tc>
          <w:tcPr>
            <w:tcW w:type="dxa" w:w="20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Dmg Pixels</w:t>
            </w:r>
          </w:p>
        </w:tc>
        <w:tc>
          <w:tcPr>
            <w:tcW w:type="dxa" w:w="18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Dmg Ratio</w:t>
            </w:r>
          </w:p>
        </w:tc>
        <w:tc>
          <w:tcPr>
            <w:tcW w:type="dxa" w:w="20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Scenes</w:t>
            </w:r>
          </w:p>
        </w:tc>
      </w:tr>
      <w:tr>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Training</w:t>
            </w:r>
          </w:p>
        </w:tc>
        <w:tc>
          <w:tcPr>
            <w:tcW w:type="dxa" w:w="14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2940</w:t>
            </w:r>
          </w:p>
        </w:tc>
        <w:tc>
          <w:tcPr>
            <w:tcW w:type="dxa" w:w="20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539.7 M</w:t>
            </w:r>
          </w:p>
        </w:tc>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17.97%</w:t>
            </w:r>
          </w:p>
        </w:tc>
        <w:tc>
          <w:tcPr>
            <w:tcW w:type="dxa" w:w="20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147</w:t>
            </w:r>
          </w:p>
        </w:tc>
      </w:tr>
      <w:tr>
        <w:tc>
          <w:tcPr>
            <w:tcW w:type="dxa" w:w="18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Validation</w:t>
            </w:r>
          </w:p>
        </w:tc>
        <w:tc>
          <w:tcPr>
            <w:tcW w:type="dxa" w:w="14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630</w:t>
            </w:r>
          </w:p>
        </w:tc>
        <w:tc>
          <w:tcPr>
            <w:tcW w:type="dxa" w:w="20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115.6 M</w:t>
            </w:r>
          </w:p>
        </w:tc>
        <w:tc>
          <w:tcPr>
            <w:tcW w:type="dxa" w:w="18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18.23%</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32</w:t>
            </w:r>
          </w:p>
        </w:tc>
      </w:tr>
      <w:tr>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Test</w:t>
            </w:r>
          </w:p>
        </w:tc>
        <w:tc>
          <w:tcPr>
            <w:tcW w:type="dxa" w:w="14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630</w:t>
            </w:r>
          </w:p>
        </w:tc>
        <w:tc>
          <w:tcPr>
            <w:tcW w:type="dxa" w:w="20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115.4 M</w:t>
            </w:r>
          </w:p>
        </w:tc>
        <w:tc>
          <w:tcPr>
            <w:tcW w:type="dxa" w:w="18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18.45%</w:t>
            </w:r>
          </w:p>
        </w:tc>
        <w:tc>
          <w:tcPr>
            <w:tcW w:type="dxa" w:w="20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31</w:t>
            </w:r>
          </w:p>
        </w:tc>
      </w:tr>
      <w:tr>
        <w:tc>
          <w:tcPr>
            <w:tcW w:type="dxa" w:w="18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Total</w:t>
            </w:r>
          </w:p>
        </w:tc>
        <w:tc>
          <w:tcPr>
            <w:tcW w:type="dxa" w:w="14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4200</w:t>
            </w:r>
          </w:p>
        </w:tc>
        <w:tc>
          <w:tcPr>
            <w:tcW w:type="dxa" w:w="20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770.7 M</w:t>
            </w:r>
          </w:p>
        </w:tc>
        <w:tc>
          <w:tcPr>
            <w:tcW w:type="dxa" w:w="18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18.07%</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210</w:t>
            </w:r>
          </w:p>
        </w:tc>
      </w:tr>
    </w:tbl>
    <w:p>
      <w:pPr>
        <w:spacing w:after="0" w:before="120"/>
      </w:pPr>
      <w:r>
        <w:t xml:space="preserve"/>
      </w:r>
    </w:p>
    <w:p>
      <w:pPr>
        <w:pStyle w:val="Heading2"/>
        <w:spacing w:after="120" w:before="240"/>
      </w:pPr>
      <w:r>
        <w:rPr>
          <w:rFonts w:ascii="Times New Roman" w:cs="Times New Roman" w:eastAsia="Times New Roman" w:hAnsi="Times New Roman"/>
          <w:b/>
          <w:bCs/>
          <w:color w:val="1A3A5C"/>
          <w:sz w:val="24"/>
          <w:szCs w:val="24"/>
        </w:rPr>
        <w:t xml:space="preserve">3.4 Preprocessing and Augmentation</w:t>
      </w:r>
    </w:p>
    <w:p>
      <w:pPr>
        <w:spacing w:after="80" w:before="80" w:line="276"/>
        <w:ind/>
        <w:jc w:val="both"/>
      </w:pPr>
      <w:r>
        <w:rPr>
          <w:rFonts w:ascii="Times New Roman" w:cs="Times New Roman" w:eastAsia="Times New Roman" w:hAnsi="Times New Roman"/>
          <w:sz w:val="24"/>
          <w:szCs w:val="24"/>
        </w:rPr>
        <w:t xml:space="preserve">All images are resized to 512×512 pixels via bilinear interpolation; annotation masks use nearest-neighbour interpolation to preserve discrete label values. The augmentation pipeline, implemented with Albumentations [26], applies the following transforms during training only: random horizontal flip (p = 0.50), random vertical flip (p = 0.30), random rotation θ ∈ [−20°, +20°], brightness and contrast jitter, Gaussian blur (p = 0.20), coarse dropout (p = 0.15), grid distortion (p = 0.10), and ImageNet normalisation (μ = [0.485, 0.456, 0.406], σ = [0.229, 0.224, 0.225]). No augmentation is applied at validation or test time.</w:t>
      </w:r>
    </w:p>
    <w:p>
      <w:pPr>
        <w:pStyle w:val="Heading1"/>
        <w:spacing w:after="160" w:before="320"/>
      </w:pPr>
      <w:r>
        <w:rPr>
          <w:rFonts w:ascii="Times New Roman" w:cs="Times New Roman" w:eastAsia="Times New Roman" w:hAnsi="Times New Roman"/>
          <w:b/>
          <w:bCs/>
          <w:color w:val="1A3A5C"/>
          <w:sz w:val="28"/>
          <w:szCs w:val="28"/>
        </w:rPr>
        <w:t xml:space="preserve">4. Methodology</w:t>
      </w:r>
    </w:p>
    <w:p>
      <w:pPr>
        <w:pStyle w:val="Heading2"/>
        <w:spacing w:after="120" w:before="240"/>
      </w:pPr>
      <w:r>
        <w:rPr>
          <w:rFonts w:ascii="Times New Roman" w:cs="Times New Roman" w:eastAsia="Times New Roman" w:hAnsi="Times New Roman"/>
          <w:b/>
          <w:bCs/>
          <w:color w:val="1A3A5C"/>
          <w:sz w:val="24"/>
          <w:szCs w:val="24"/>
        </w:rPr>
        <w:t xml:space="preserve">4.1 System Overview and Flowchart</w:t>
      </w:r>
    </w:p>
    <w:p>
      <w:pPr>
        <w:spacing w:after="80" w:before="80" w:line="276"/>
        <w:ind/>
        <w:jc w:val="both"/>
      </w:pPr>
      <w:r>
        <w:rPr>
          <w:rFonts w:ascii="Times New Roman" w:cs="Times New Roman" w:eastAsia="Times New Roman" w:hAnsi="Times New Roman"/>
          <w:sz w:val="24"/>
          <w:szCs w:val="24"/>
        </w:rPr>
        <w:t xml:space="preserve">Figure 1 presents the end-to-end pipeline of the proposed road damage detection system, encompassing data acquisition, preprocessing, model training, and deployment. The system receives an input road image, applies the preprocessing pipeline (resize, normalise), passes it through the SegFormer-B2 model, generates a per-pixel segmentation mask, and renders the result as a colour-coded overlay via the Flask web application.</w:t>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[System Flowchart: Input Image → Preprocessing (Resize 512×512, Normalise) → SegFormer-B2 (MiT Encoder → All-MLP Decoder) → Segmentation Mask → Colour Overlay → Flask Web App Output]</w:t>
      </w:r>
    </w:p>
    <w:p>
      <w:pPr>
        <w:spacing w:after="160" w:before="80"/>
        <w:jc w:val="center"/>
      </w:pPr>
      <w:r>
        <w:rPr>
          <w:rFonts w:ascii="Times New Roman" w:cs="Times New Roman" w:eastAsia="Times New Roman" w:hAnsi="Times New Roman"/>
          <w:i/>
          <w:iCs/>
          <w:sz w:val="22"/>
          <w:szCs w:val="22"/>
        </w:rPr>
        <w:t xml:space="preserve">Figure 1: End-to-end pipeline of the proposed road damage detection and segmentation framework.</w:t>
      </w:r>
    </w:p>
    <w:p>
      <w:pPr>
        <w:pStyle w:val="Heading2"/>
        <w:spacing w:after="120" w:before="240"/>
      </w:pPr>
      <w:r>
        <w:rPr>
          <w:rFonts w:ascii="Times New Roman" w:cs="Times New Roman" w:eastAsia="Times New Roman" w:hAnsi="Times New Roman"/>
          <w:b/>
          <w:bCs/>
          <w:color w:val="1A3A5C"/>
          <w:sz w:val="24"/>
          <w:szCs w:val="24"/>
        </w:rPr>
        <w:t xml:space="preserve">4.2 SegFormer Architecture</w:t>
      </w:r>
    </w:p>
    <w:p>
      <w:pPr>
        <w:spacing w:after="80" w:before="80" w:line="276"/>
        <w:ind/>
        <w:jc w:val="both"/>
      </w:pPr>
      <w:r>
        <w:rPr>
          <w:rFonts w:ascii="Times New Roman" w:cs="Times New Roman" w:eastAsia="Times New Roman" w:hAnsi="Times New Roman"/>
          <w:sz w:val="24"/>
          <w:szCs w:val="24"/>
        </w:rPr>
        <w:t xml:space="preserve">SegFormer [13] consists of two components: (i) a hierarchical Mix Transformer (MiT) encoder that produces multi-scale feature representations, and (ii) a lightweight All-MLP decoder that aggregates these representations into a final segmentation map. Given an input image X ∈ R^{H×W×3}, the MiT encoder processes it through four hierarchical stages. In stage i ∈ {1,2,3,4}, an overlapping patch embedding with stride s_i maps the feature map to resolution H/(2^{i+1}) × W/(2^{i+1}) with channel dimension C_i, where for MiT-B2: (C1, C2, C3, C4) = (64, 128, 320, 512).</w:t>
      </w:r>
    </w:p>
    <w:p>
      <w:pPr>
        <w:pStyle w:val="Heading3"/>
        <w:spacing w:after="80" w:before="180"/>
      </w:pPr>
      <w:r>
        <w:rPr>
          <w:rFonts w:ascii="Times New Roman" w:cs="Times New Roman" w:eastAsia="Times New Roman" w:hAnsi="Times New Roman"/>
          <w:b/>
          <w:bCs/>
          <w:i/>
          <w:iCs/>
          <w:sz w:val="24"/>
          <w:szCs w:val="24"/>
        </w:rPr>
        <w:t xml:space="preserve">4.2.1 Efficient Self-Attention (ESA)</w:t>
      </w:r>
    </w:p>
    <w:p>
      <w:pPr>
        <w:spacing w:after="80" w:before="80" w:line="276"/>
        <w:ind/>
        <w:jc w:val="both"/>
      </w:pPr>
      <w:r>
        <w:rPr>
          <w:rFonts w:ascii="Times New Roman" w:cs="Times New Roman" w:eastAsia="Times New Roman" w:hAnsi="Times New Roman"/>
          <w:sz w:val="24"/>
          <w:szCs w:val="24"/>
        </w:rPr>
        <w:t xml:space="preserve">Standard MHSA for a sequence of N = H_i ⋅ W_i tokens has complexity O(N²), which is prohibitive for dense prediction at high resolution. ESA introduces a sequence reduction ratio R_i ∈ {8,4,2,1} across stages:</w:t>
      </w:r>
    </w:p>
    <w:p>
      <w:pPr>
        <w:spacing w:after="120" w:before="120"/>
        <w:jc w:val="center"/>
      </w:pPr>
      <w:r>
        <w:rPr>
          <w:rFonts w:ascii="Cambria Math" w:cs="Cambria Math" w:eastAsia="Cambria Math" w:hAnsi="Cambria Math"/>
          <w:sz w:val="24"/>
          <w:szCs w:val="24"/>
        </w:rPr>
        <w:t xml:space="preserve">K̂ = Reshape(K; N/R²_i, C_i R²_i) W^r_K     (Eq. 2)</w:t>
      </w:r>
    </w:p>
    <w:p>
      <w:pPr>
        <w:spacing w:after="120" w:before="120"/>
        <w:jc w:val="center"/>
      </w:pPr>
      <w:r>
        <w:rPr>
          <w:rFonts w:ascii="Cambria Math" w:cs="Cambria Math" w:eastAsia="Cambria Math" w:hAnsi="Cambria Math"/>
          <w:sz w:val="24"/>
          <w:szCs w:val="24"/>
        </w:rPr>
        <w:t xml:space="preserve">V̂ = Reshape(V; N/R²_i, C_i R²_i) W^r_V     (Eq. 3)</w:t>
      </w:r>
    </w:p>
    <w:p>
      <w:pPr>
        <w:spacing w:after="80" w:before="80" w:line="276"/>
        <w:ind/>
        <w:jc w:val="both"/>
      </w:pPr>
      <w:r>
        <w:rPr>
          <w:rFonts w:ascii="Times New Roman" w:cs="Times New Roman" w:eastAsia="Times New Roman" w:hAnsi="Times New Roman"/>
          <w:sz w:val="24"/>
          <w:szCs w:val="24"/>
        </w:rPr>
        <w:t xml:space="preserve">where W^r_K, W^r_V ∈ R^{C_i R²_i × C_i} are learnable projection matrices. The self-attention proceeds as:</w:t>
      </w:r>
    </w:p>
    <w:p>
      <w:pPr>
        <w:spacing w:after="120" w:before="120"/>
        <w:jc w:val="center"/>
      </w:pPr>
      <w:r>
        <w:rPr>
          <w:rFonts w:ascii="Cambria Math" w:cs="Cambria Math" w:eastAsia="Cambria Math" w:hAnsi="Cambria Math"/>
          <w:sz w:val="24"/>
          <w:szCs w:val="24"/>
        </w:rPr>
        <w:t xml:space="preserve">Attention(Q, K̂, V̂) = Softmax(Q K̂ᵀ / √d_k) V̂     (Eq. 4)</w:t>
      </w:r>
    </w:p>
    <w:p>
      <w:pPr>
        <w:spacing w:after="80" w:before="80" w:line="276"/>
        <w:ind/>
        <w:jc w:val="both"/>
      </w:pPr>
      <w:r>
        <w:rPr>
          <w:rFonts w:ascii="Times New Roman" w:cs="Times New Roman" w:eastAsia="Times New Roman" w:hAnsi="Times New Roman"/>
          <w:sz w:val="24"/>
          <w:szCs w:val="24"/>
        </w:rPr>
        <w:t xml:space="preserve">Effective complexity reduces from O(N²) to O(N²/R²_i), providing a 64× reduction at stage 1 where R_1 = 8.</w:t>
      </w:r>
    </w:p>
    <w:p>
      <w:pPr>
        <w:pStyle w:val="Heading3"/>
        <w:spacing w:after="80" w:before="180"/>
      </w:pPr>
      <w:r>
        <w:rPr>
          <w:rFonts w:ascii="Times New Roman" w:cs="Times New Roman" w:eastAsia="Times New Roman" w:hAnsi="Times New Roman"/>
          <w:b/>
          <w:bCs/>
          <w:i/>
          <w:iCs/>
          <w:sz w:val="24"/>
          <w:szCs w:val="24"/>
        </w:rPr>
        <w:t xml:space="preserve">4.2.2 Mix-FFN</w:t>
      </w:r>
    </w:p>
    <w:p>
      <w:pPr>
        <w:spacing w:after="80" w:before="80" w:line="276"/>
        <w:ind/>
        <w:jc w:val="both"/>
      </w:pPr>
      <w:r>
        <w:rPr>
          <w:rFonts w:ascii="Times New Roman" w:cs="Times New Roman" w:eastAsia="Times New Roman" w:hAnsi="Times New Roman"/>
          <w:sz w:val="24"/>
          <w:szCs w:val="24"/>
        </w:rPr>
        <w:t xml:space="preserve">SegFormer replaces positional encoding with a Mix-FFN that embeds local positional context implicitly via a depth-wise convolution:</w:t>
      </w:r>
    </w:p>
    <w:p>
      <w:pPr>
        <w:spacing w:after="120" w:before="120"/>
        <w:jc w:val="center"/>
      </w:pPr>
      <w:r>
        <w:rPr>
          <w:rFonts w:ascii="Cambria Math" w:cs="Cambria Math" w:eastAsia="Cambria Math" w:hAnsi="Cambria Math"/>
          <w:sz w:val="24"/>
          <w:szCs w:val="24"/>
        </w:rPr>
        <w:t xml:space="preserve">Mix-FFN(x) = FC(GELU(DWConv(FC(x))))     (Eq. 5)</w:t>
      </w:r>
    </w:p>
    <w:p>
      <w:pPr>
        <w:spacing w:after="80" w:before="80" w:line="276"/>
        <w:ind/>
        <w:jc w:val="both"/>
      </w:pPr>
      <w:r>
        <w:rPr>
          <w:rFonts w:ascii="Times New Roman" w:cs="Times New Roman" w:eastAsia="Times New Roman" w:hAnsi="Times New Roman"/>
          <w:sz w:val="24"/>
          <w:szCs w:val="24"/>
        </w:rPr>
        <w:t xml:space="preserve">where FC denotes a fully connected layer and DWConv a 3×3 depth-wise convolution. This enables SegFormer to handle variable input resolutions without retraining—a critical advantage for road images captured at different resolutions.</w:t>
      </w:r>
    </w:p>
    <w:p>
      <w:pPr>
        <w:pStyle w:val="Heading3"/>
        <w:spacing w:after="80" w:before="180"/>
      </w:pPr>
      <w:r>
        <w:rPr>
          <w:rFonts w:ascii="Times New Roman" w:cs="Times New Roman" w:eastAsia="Times New Roman" w:hAnsi="Times New Roman"/>
          <w:b/>
          <w:bCs/>
          <w:i/>
          <w:iCs/>
          <w:sz w:val="24"/>
          <w:szCs w:val="24"/>
        </w:rPr>
        <w:t xml:space="preserve">4.2.3 All-MLP Decoder</w:t>
      </w:r>
    </w:p>
    <w:p>
      <w:pPr>
        <w:spacing w:after="80" w:before="80" w:line="276"/>
        <w:ind/>
        <w:jc w:val="both"/>
      </w:pPr>
      <w:r>
        <w:rPr>
          <w:rFonts w:ascii="Times New Roman" w:cs="Times New Roman" w:eastAsia="Times New Roman" w:hAnsi="Times New Roman"/>
          <w:sz w:val="24"/>
          <w:szCs w:val="24"/>
        </w:rPr>
        <w:t xml:space="preserve">The four encoder feature maps {F_i}^4_{i=1} are fused in four steps. First, each F_i is projected to a common channel dimension C_d = 256. Second, all projected features are bilinearly upsampled to H/4 × W/4. Third, the aligned features are concatenated and fused:</w:t>
      </w:r>
    </w:p>
    <w:p>
      <w:pPr>
        <w:spacing w:after="120" w:before="120"/>
        <w:jc w:val="center"/>
      </w:pPr>
      <w:r>
        <w:rPr>
          <w:rFonts w:ascii="Cambria Math" w:cs="Cambria Math" w:eastAsia="Cambria Math" w:hAnsi="Cambria Math"/>
          <w:sz w:val="24"/>
          <w:szCs w:val="24"/>
        </w:rPr>
        <w:t xml:space="preserve">F_fused = Linear(4C_d, C_d)(Concat(F̂_1, F̂_2, F̂_3, F̂_4))     (Eq. 6)</w:t>
      </w:r>
    </w:p>
    <w:p>
      <w:pPr>
        <w:spacing w:after="80" w:before="80" w:line="276"/>
        <w:ind/>
        <w:jc w:val="both"/>
      </w:pPr>
      <w:r>
        <w:rPr>
          <w:rFonts w:ascii="Times New Roman" w:cs="Times New Roman" w:eastAsia="Times New Roman" w:hAnsi="Times New Roman"/>
          <w:sz w:val="24"/>
          <w:szCs w:val="24"/>
        </w:rPr>
        <w:t xml:space="preserve">Finally, a linear classification head and bilinear upsampling produce per-pixel logits:</w:t>
      </w:r>
    </w:p>
    <w:p>
      <w:pPr>
        <w:spacing w:after="120" w:before="120"/>
        <w:jc w:val="center"/>
      </w:pPr>
      <w:r>
        <w:rPr>
          <w:rFonts w:ascii="Cambria Math" w:cs="Cambria Math" w:eastAsia="Cambria Math" w:hAnsi="Cambria Math"/>
          <w:sz w:val="24"/>
          <w:szCs w:val="24"/>
        </w:rPr>
        <w:t xml:space="preserve">Ŷ = Upsample_{4×}(Linear(C_d, N_c)(F_fused)) ∈ R^{H×W×N_c}     (Eq. 7)</w:t>
      </w:r>
    </w:p>
    <w:p>
      <w:pPr>
        <w:spacing w:after="80" w:before="80" w:line="276"/>
        <w:ind/>
        <w:jc w:val="both"/>
      </w:pPr>
      <w:r>
        <w:rPr>
          <w:rFonts w:ascii="Times New Roman" w:cs="Times New Roman" w:eastAsia="Times New Roman" w:hAnsi="Times New Roman"/>
          <w:sz w:val="24"/>
          <w:szCs w:val="24"/>
        </w:rPr>
        <w:t xml:space="preserve">where N_c = 5. Table 4 summarises the MiT-B2 stage configuration.</w:t>
      </w:r>
    </w:p>
    <w:p>
      <w:pPr>
        <w:spacing w:after="160" w:before="80"/>
        <w:jc w:val="center"/>
      </w:pPr>
      <w:r>
        <w:rPr>
          <w:rFonts w:ascii="Times New Roman" w:cs="Times New Roman" w:eastAsia="Times New Roman" w:hAnsi="Times New Roman"/>
          <w:i/>
          <w:iCs/>
          <w:sz w:val="22"/>
          <w:szCs w:val="22"/>
        </w:rPr>
        <w:t xml:space="preserve">Table 4: MiT-B2 encoder stage configuration. Total parameters: 24.2M (encoder) + 4.3M (decoder) = 28.5M.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1400"/>
        <w:gridCol w:w="1400"/>
        <w:gridCol w:w="1672"/>
      </w:tblGrid>
      <w:tr>
        <w:trPr>
          <w:tblHeader/>
        </w:trPr>
        <w:tc>
          <w:tcPr>
            <w:tcW w:type="dxa" w:w="1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Stage</w:t>
            </w:r>
          </w:p>
        </w:tc>
        <w:tc>
          <w:tcPr>
            <w:tcW w:type="dxa" w:w="2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Output Size</w:t>
            </w:r>
          </w:p>
        </w:tc>
        <w:tc>
          <w:tcPr>
            <w:tcW w:type="dxa" w:w="1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C_i</w:t>
            </w:r>
          </w:p>
        </w:tc>
        <w:tc>
          <w:tcPr>
            <w:tcW w:type="dxa" w:w="14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Blocks</w:t>
            </w:r>
          </w:p>
        </w:tc>
        <w:tc>
          <w:tcPr>
            <w:tcW w:type="dxa" w:w="14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R_i</w:t>
            </w:r>
          </w:p>
        </w:tc>
        <w:tc>
          <w:tcPr>
            <w:tcW w:type="dxa" w:w="16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Heads</w:t>
            </w:r>
          </w:p>
        </w:tc>
      </w:tr>
      <w:tr>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H/4 × W/4</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64</w:t>
            </w:r>
          </w:p>
        </w:tc>
        <w:tc>
          <w:tcPr>
            <w:tcW w:type="dxa" w:w="14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4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16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r>
      <w:tr>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H/8 × W/8</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128</w:t>
            </w:r>
          </w:p>
        </w:tc>
        <w:tc>
          <w:tcPr>
            <w:tcW w:type="dxa" w:w="14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4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6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r>
      <w:tr>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H/16 × W/16</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320</w:t>
            </w:r>
          </w:p>
        </w:tc>
        <w:tc>
          <w:tcPr>
            <w:tcW w:type="dxa" w:w="14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4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6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H/32 × W/32</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512</w:t>
            </w:r>
          </w:p>
        </w:tc>
        <w:tc>
          <w:tcPr>
            <w:tcW w:type="dxa" w:w="14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4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6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r>
    </w:tbl>
    <w:p>
      <w:pPr>
        <w:spacing w:after="0" w:before="120"/>
      </w:pPr>
      <w:r>
        <w:t xml:space="preserve"/>
      </w:r>
    </w:p>
    <w:p>
      <w:pPr>
        <w:pStyle w:val="Heading2"/>
        <w:spacing w:after="120" w:before="240"/>
      </w:pPr>
      <w:r>
        <w:rPr>
          <w:rFonts w:ascii="Times New Roman" w:cs="Times New Roman" w:eastAsia="Times New Roman" w:hAnsi="Times New Roman"/>
          <w:b/>
          <w:bCs/>
          <w:color w:val="1A3A5C"/>
          <w:sz w:val="24"/>
          <w:szCs w:val="24"/>
        </w:rPr>
        <w:t xml:space="preserve">4.3 Loss Function</w:t>
      </w:r>
    </w:p>
    <w:p>
      <w:pPr>
        <w:pStyle w:val="Heading3"/>
        <w:spacing w:after="80" w:before="180"/>
      </w:pPr>
      <w:r>
        <w:rPr>
          <w:rFonts w:ascii="Times New Roman" w:cs="Times New Roman" w:eastAsia="Times New Roman" w:hAnsi="Times New Roman"/>
          <w:b/>
          <w:bCs/>
          <w:i/>
          <w:iCs/>
          <w:sz w:val="24"/>
          <w:szCs w:val="24"/>
        </w:rPr>
        <w:t xml:space="preserve">4.3.1 Weighted Cross-Entropy Loss</w:t>
      </w:r>
    </w:p>
    <w:p>
      <w:pPr>
        <w:spacing w:after="80" w:before="80" w:line="276"/>
        <w:ind/>
        <w:jc w:val="both"/>
      </w:pPr>
      <w:r>
        <w:rPr>
          <w:rFonts w:ascii="Times New Roman" w:cs="Times New Roman" w:eastAsia="Times New Roman" w:hAnsi="Times New Roman"/>
          <w:sz w:val="24"/>
          <w:szCs w:val="24"/>
        </w:rPr>
        <w:t xml:space="preserve">Class weights w_c from Eq. (1) are incorporated into cross-entropy:</w:t>
      </w:r>
    </w:p>
    <w:p>
      <w:pPr>
        <w:spacing w:after="120" w:before="120"/>
        <w:jc w:val="center"/>
      </w:pPr>
      <w:r>
        <w:rPr>
          <w:rFonts w:ascii="Cambria Math" w:cs="Cambria Math" w:eastAsia="Cambria Math" w:hAnsi="Cambria Math"/>
          <w:sz w:val="24"/>
          <w:szCs w:val="24"/>
        </w:rPr>
        <w:t xml:space="preserve">ℒ_CE = −1/N Σ_n Σ_c w_c y_nc log p_nc     (Eq. 8)</w:t>
      </w:r>
    </w:p>
    <w:p>
      <w:pPr>
        <w:spacing w:after="80" w:before="80" w:line="276"/>
        <w:ind/>
        <w:jc w:val="both"/>
      </w:pPr>
      <w:r>
        <w:rPr>
          <w:rFonts w:ascii="Times New Roman" w:cs="Times New Roman" w:eastAsia="Times New Roman" w:hAnsi="Times New Roman"/>
          <w:sz w:val="24"/>
          <w:szCs w:val="24"/>
        </w:rPr>
        <w:t xml:space="preserve">where y_nc ∈ {0,1} is the one-hot ground-truth indicator and p_nc is the softmax predicted probability for pixel n and class c.</w:t>
      </w:r>
    </w:p>
    <w:p>
      <w:pPr>
        <w:pStyle w:val="Heading3"/>
        <w:spacing w:after="80" w:before="180"/>
      </w:pPr>
      <w:r>
        <w:rPr>
          <w:rFonts w:ascii="Times New Roman" w:cs="Times New Roman" w:eastAsia="Times New Roman" w:hAnsi="Times New Roman"/>
          <w:b/>
          <w:bCs/>
          <w:i/>
          <w:iCs/>
          <w:sz w:val="24"/>
          <w:szCs w:val="24"/>
        </w:rPr>
        <w:t xml:space="preserve">4.3.2 Soft Dice Loss</w:t>
      </w:r>
    </w:p>
    <w:p>
      <w:pPr>
        <w:spacing w:after="120" w:before="120"/>
        <w:jc w:val="center"/>
      </w:pPr>
      <w:r>
        <w:rPr>
          <w:rFonts w:ascii="Cambria Math" w:cs="Cambria Math" w:eastAsia="Cambria Math" w:hAnsi="Cambria Math"/>
          <w:sz w:val="24"/>
          <w:szCs w:val="24"/>
        </w:rPr>
        <w:t xml:space="preserve">ℒ_Dice = 1 − 1/C Σ_c (2Σ_n p_nc y_nc + ε) / (Σ_n p_nc + Σ_n y_nc + ε)     (Eq. 9)</w:t>
      </w:r>
    </w:p>
    <w:p>
      <w:pPr>
        <w:spacing w:after="80" w:before="80" w:line="276"/>
        <w:ind/>
        <w:jc w:val="both"/>
      </w:pPr>
      <w:r>
        <w:rPr>
          <w:rFonts w:ascii="Times New Roman" w:cs="Times New Roman" w:eastAsia="Times New Roman" w:hAnsi="Times New Roman"/>
          <w:sz w:val="24"/>
          <w:szCs w:val="24"/>
        </w:rPr>
        <w:t xml:space="preserve">where ε = 10^{−6} provides numerical stability. Dice Loss directly optimises the overlap ratio, mitigating gradient suppression for minority classes that cross-entropy alone suffers from.</w:t>
      </w:r>
    </w:p>
    <w:p>
      <w:pPr>
        <w:pStyle w:val="Heading3"/>
        <w:spacing w:after="80" w:before="180"/>
      </w:pPr>
      <w:r>
        <w:rPr>
          <w:rFonts w:ascii="Times New Roman" w:cs="Times New Roman" w:eastAsia="Times New Roman" w:hAnsi="Times New Roman"/>
          <w:b/>
          <w:bCs/>
          <w:i/>
          <w:iCs/>
          <w:sz w:val="24"/>
          <w:szCs w:val="24"/>
        </w:rPr>
        <w:t xml:space="preserve">4.3.3 Composite Loss</w:t>
      </w:r>
    </w:p>
    <w:p>
      <w:pPr>
        <w:spacing w:after="120" w:before="120"/>
        <w:jc w:val="center"/>
      </w:pPr>
      <w:r>
        <w:rPr>
          <w:rFonts w:ascii="Cambria Math" w:cs="Cambria Math" w:eastAsia="Cambria Math" w:hAnsi="Cambria Math"/>
          <w:sz w:val="24"/>
          <w:szCs w:val="24"/>
        </w:rPr>
        <w:t xml:space="preserve">ℒ = λ_CE ℒ_CE + λ_Dice ℒ_Dice     (Eq. 10)</w:t>
      </w:r>
    </w:p>
    <w:p>
      <w:pPr>
        <w:spacing w:after="80" w:before="80" w:line="276"/>
        <w:ind/>
        <w:jc w:val="both"/>
      </w:pPr>
      <w:r>
        <w:rPr>
          <w:rFonts w:ascii="Times New Roman" w:cs="Times New Roman" w:eastAsia="Times New Roman" w:hAnsi="Times New Roman"/>
          <w:sz w:val="24"/>
          <w:szCs w:val="24"/>
        </w:rPr>
        <w:t xml:space="preserve">The weights λ_CE = 0.70 and λ_Dice = 0.30 were determined by grid search on validation mIoU, with the search space {0.5/0.5, 0.6/0.4, 0.7/0.3, 0.8/0.2}.</w:t>
      </w:r>
    </w:p>
    <w:p>
      <w:pPr>
        <w:pStyle w:val="Heading2"/>
        <w:spacing w:after="120" w:before="240"/>
      </w:pPr>
      <w:r>
        <w:rPr>
          <w:rFonts w:ascii="Times New Roman" w:cs="Times New Roman" w:eastAsia="Times New Roman" w:hAnsi="Times New Roman"/>
          <w:b/>
          <w:bCs/>
          <w:color w:val="1A3A5C"/>
          <w:sz w:val="24"/>
          <w:szCs w:val="24"/>
        </w:rPr>
        <w:t xml:space="preserve">4.4 Optimiser and Learning Rate Schedule</w:t>
      </w:r>
    </w:p>
    <w:p>
      <w:pPr>
        <w:spacing w:after="80" w:before="80" w:line="276"/>
        <w:ind/>
        <w:jc w:val="both"/>
      </w:pPr>
      <w:r>
        <w:rPr>
          <w:rFonts w:ascii="Times New Roman" w:cs="Times New Roman" w:eastAsia="Times New Roman" w:hAnsi="Times New Roman"/>
          <w:sz w:val="24"/>
          <w:szCs w:val="24"/>
        </w:rPr>
        <w:t xml:space="preserve">The AdamW optimiser [33] with decoupled weight decay λ_wd = 10^{−2} is employed. The backbone encoder uses a learning rate of 0.1×η_t following standard transfer learning practice to preserve pretrained representations. Cosine annealing with warm restarts (SGDR) [25] modulates the learning rate:</w:t>
      </w:r>
    </w:p>
    <w:p>
      <w:pPr>
        <w:spacing w:after="120" w:before="120"/>
        <w:jc w:val="center"/>
      </w:pPr>
      <w:r>
        <w:rPr>
          <w:rFonts w:ascii="Cambria Math" w:cs="Cambria Math" w:eastAsia="Cambria Math" w:hAnsi="Cambria Math"/>
          <w:sz w:val="24"/>
          <w:szCs w:val="24"/>
        </w:rPr>
        <w:t xml:space="preserve">η_t = η_min + ½(η_max − η_min)(1 + cos(π T_cur / T_i))     (Eq. 11)</w:t>
      </w:r>
    </w:p>
    <w:p>
      <w:pPr>
        <w:spacing w:after="80" w:before="80" w:line="276"/>
        <w:ind/>
        <w:jc w:val="both"/>
      </w:pPr>
      <w:r>
        <w:rPr>
          <w:rFonts w:ascii="Times New Roman" w:cs="Times New Roman" w:eastAsia="Times New Roman" w:hAnsi="Times New Roman"/>
          <w:sz w:val="24"/>
          <w:szCs w:val="24"/>
        </w:rPr>
        <w:t xml:space="preserve">where η_max = 3×10^{−4}, η_min = 10^{−6}, T_0 = 20 epochs, and T_mult = 2 (cycles of 20, 40, 80 epochs). Warm restarts enable escape from sharp local minima, as confirmed in the ablation study.</w:t>
      </w:r>
    </w:p>
    <w:p>
      <w:pPr>
        <w:pStyle w:val="Heading2"/>
        <w:spacing w:after="120" w:before="240"/>
      </w:pPr>
      <w:r>
        <w:rPr>
          <w:rFonts w:ascii="Times New Roman" w:cs="Times New Roman" w:eastAsia="Times New Roman" w:hAnsi="Times New Roman"/>
          <w:b/>
          <w:bCs/>
          <w:color w:val="1A3A5C"/>
          <w:sz w:val="24"/>
          <w:szCs w:val="24"/>
        </w:rPr>
        <w:t xml:space="preserve">4.5 Implementation Details</w:t>
      </w:r>
    </w:p>
    <w:p>
      <w:pPr>
        <w:spacing w:after="80" w:before="80" w:line="276"/>
        <w:ind/>
        <w:jc w:val="both"/>
      </w:pPr>
      <w:r>
        <w:rPr>
          <w:rFonts w:ascii="Times New Roman" w:cs="Times New Roman" w:eastAsia="Times New Roman" w:hAnsi="Times New Roman"/>
          <w:sz w:val="24"/>
          <w:szCs w:val="24"/>
        </w:rPr>
        <w:t xml:space="preserve">Complete implementation details are provided to ensure reproducibility. The system is implemented in Python 3.10 using PyTorch 2.1.0 and HuggingFace Transformers 4.37. The SegFormer-B2 model is loaded from the HuggingFace Hub (‘nvidia/mit-b2’) with ImageNet-1K pretrained weights. The model is fine-tuned end-to-end with differential learning rates.</w:t>
      </w:r>
    </w:p>
    <w:p>
      <w:pPr>
        <w:spacing w:after="80" w:before="80" w:line="276"/>
        <w:ind/>
        <w:jc w:val="both"/>
      </w:pPr>
      <w:r>
        <w:rPr>
          <w:rFonts w:ascii="Times New Roman" w:cs="Times New Roman" w:eastAsia="Times New Roman" w:hAnsi="Times New Roman"/>
          <w:sz w:val="24"/>
          <w:szCs w:val="24"/>
        </w:rPr>
        <w:t xml:space="preserve">Data loading uses PyTorch DataLoader with num_workers = 4 and pin_memory = True for efficient GPU data transfer. Mixed-precision training (torch.cuda.amp) is enabled to reduce VRAM consumption and accelerate training. Gradient clipping at max_norm = 1.0 is applied to prevent gradient explosion during warm restart cycles. Model checkpointing saves the best validation mIoU checkpoint, which is subsequently exported to TorchScript via torch.jit.trace for deployment. Table 5 summarises all hardware and hyperparameter settings.</w:t>
      </w:r>
    </w:p>
    <w:p>
      <w:pPr>
        <w:spacing w:after="160" w:before="80"/>
        <w:jc w:val="center"/>
      </w:pPr>
      <w:r>
        <w:rPr>
          <w:rFonts w:ascii="Times New Roman" w:cs="Times New Roman" w:eastAsia="Times New Roman" w:hAnsi="Times New Roman"/>
          <w:i/>
          <w:iCs/>
          <w:sz w:val="22"/>
          <w:szCs w:val="22"/>
        </w:rPr>
        <w:t xml:space="preserve">Table 5: Hardware and hyperparameter configuration for training SegFormer-B2.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00"/>
        <w:gridCol w:w="5872"/>
      </w:tblGrid>
      <w:tr>
        <w:trPr>
          <w:tblHeader/>
        </w:trPr>
        <w:tc>
          <w:tcPr>
            <w:tcW w:type="dxa" w:w="3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Parameter</w:t>
            </w:r>
          </w:p>
        </w:tc>
        <w:tc>
          <w:tcPr>
            <w:tcW w:type="dxa" w:w="58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Value</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GPU</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NVIDIA RTX 3080 (10 GB VRAM), CUDA 11.8</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CPU</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Intel Core i9-12900K, 16 cores</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RAM</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64 GB DDR5</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Framework</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PyTorch 2.1.0 + HuggingFace Transformers 4.37</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Python Version</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Python 3.10.12</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Backbone</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MiT-B2 (24.2M parameters)</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Pretrained Weights</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ImageNet-1K (HuggingFace Hub: nvidia/mit-b2)</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Input Resolution</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512 × 512 pixels</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Batch Size</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 (per GPU), effective batch 4</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Max Epochs</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80</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Early Stopping</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Patience = 15 epochs (val. mIoU)</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Optimiser</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AdamW, λ_wd = 10^{-2}, β_1 = 0.9, β_2 = 0.999</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Peak LR (Decoder)</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 × 10^{-4}</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Peak LR (Encoder)</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 × 10^{-5}</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LR Schedule</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SGDR, T_0 = 20, T_mult = 2</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Loss Function</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0.70 ℒ_CE + 0.30 ℒ_Dice</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Gradient Clipping</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max_norm = 1.0</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Mixed Precision</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torch.cuda.amp (FP16)</w:t>
            </w:r>
          </w:p>
        </w:tc>
      </w:tr>
      <w:tr>
        <w:tc>
          <w:tcPr>
            <w:tcW w:type="dxa" w:w="3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Training Time</w:t>
            </w:r>
          </w:p>
        </w:tc>
        <w:tc>
          <w:tcPr>
            <w:tcW w:type="dxa" w:w="58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~6.2 hours (80 epochs, single GPU)</w:t>
            </w:r>
          </w:p>
        </w:tc>
      </w:tr>
      <w:tr>
        <w:tc>
          <w:tcPr>
            <w:tcW w:type="dxa" w:w="3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Code Repository</w:t>
            </w:r>
          </w:p>
        </w:tc>
        <w:tc>
          <w:tcPr>
            <w:tcW w:type="dxa" w:w="58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https://github.com/rohini-badhe/road-damage-segformer</w:t>
            </w:r>
          </w:p>
        </w:tc>
      </w:tr>
    </w:tbl>
    <w:p>
      <w:pPr>
        <w:spacing w:after="0" w:before="120"/>
      </w:pPr>
      <w:r>
        <w:t xml:space="preserve"/>
      </w:r>
    </w:p>
    <w:p>
      <w:pPr>
        <w:pStyle w:val="Heading2"/>
        <w:spacing w:after="120" w:before="240"/>
      </w:pPr>
      <w:r>
        <w:rPr>
          <w:rFonts w:ascii="Times New Roman" w:cs="Times New Roman" w:eastAsia="Times New Roman" w:hAnsi="Times New Roman"/>
          <w:b/>
          <w:bCs/>
          <w:color w:val="1A3A5C"/>
          <w:sz w:val="24"/>
          <w:szCs w:val="24"/>
        </w:rPr>
        <w:t xml:space="preserve">4.6 Training Algorithm</w:t>
      </w:r>
    </w:p>
    <w:p>
      <w:pPr>
        <w:spacing w:after="80" w:before="80" w:line="276"/>
        <w:ind/>
        <w:jc w:val="both"/>
      </w:pPr>
      <w:r>
        <w:rPr>
          <w:rFonts w:ascii="Times New Roman" w:cs="Times New Roman" w:eastAsia="Times New Roman" w:hAnsi="Times New Roman"/>
          <w:sz w:val="24"/>
          <w:szCs w:val="24"/>
        </w:rPr>
        <w:t xml:space="preserve">Algorithm 1 summarises the complete fine-tuning procedure used to train SegFormer-B2 for road damage segmentation.</w:t>
      </w:r>
    </w:p>
    <w:p>
      <w:pPr>
        <w:pBdr>
          <w:top w:val="single" w:color="1A3A5C" w:sz="6"/>
          <w:bottom w:val="single" w:color="1A3A5C" w:sz="6"/>
          <w:left w:val="single" w:color="1A3A5C" w:sz="6"/>
          <w:right w:val="single" w:color="1A3A5C" w:sz="6"/>
        </w:pBdr>
        <w:shd w:fill="F5F8FF" w:val="clear"/>
        <w:spacing w:after="60" w:before="120"/>
      </w:pPr>
      <w:r>
        <w:rPr>
          <w:rFonts w:ascii="Courier New" w:cs="Courier New" w:eastAsia="Courier New" w:hAnsi="Courier New"/>
          <w:b/>
          <w:bCs/>
          <w:sz w:val="24"/>
          <w:szCs w:val="24"/>
        </w:rPr>
        <w:t xml:space="preserve">Algorithm 1: SegFormer Fine-Tuning for Road Damage Segmentation</w:t>
      </w:r>
    </w:p>
    <w:p>
      <w:pPr>
        <w:spacing w:after="0" w:before="0"/>
      </w:pPr>
      <w:r>
        <w:rPr>
          <w:rFonts w:ascii="Courier New" w:cs="Courier New" w:eastAsia="Courier New" w:hAnsi="Courier New"/>
          <w:sz w:val="22"/>
          <w:szCs w:val="22"/>
        </w:rPr>
        <w:t xml:space="preserve">Input:  D_tr (training set), D_val (validation set), E = 80, P = 15 (patience)</w:t>
      </w:r>
    </w:p>
    <w:p>
      <w:pPr>
        <w:spacing w:after="0" w:before="0"/>
      </w:pPr>
      <w:r>
        <w:rPr>
          <w:rFonts w:ascii="Courier New" w:cs="Courier New" w:eastAsia="Courier New" w:hAnsi="Courier New"/>
          <w:sz w:val="22"/>
          <w:szCs w:val="22"/>
        </w:rPr>
        <w:t xml:space="preserve">Output: Best model parameters θ*</w:t>
      </w:r>
    </w:p>
    <w:p>
      <w:pPr>
        <w:spacing w:after="0" w:before="0"/>
      </w:pPr>
      <w:r>
        <w:rPr>
          <w:rFonts w:ascii="Courier New" w:cs="Courier New" w:eastAsia="Courier New" w:hAnsi="Courier New"/>
          <w:sz w:val="22"/>
          <w:szCs w:val="22"/>
        </w:rPr>
        <w:t xml:space="preserve"> </w:t>
      </w:r>
    </w:p>
    <w:p>
      <w:pPr>
        <w:spacing w:after="0" w:before="0"/>
      </w:pPr>
      <w:r>
        <w:rPr>
          <w:rFonts w:ascii="Courier New" w:cs="Courier New" w:eastAsia="Courier New" w:hAnsi="Courier New"/>
          <w:sz w:val="22"/>
          <w:szCs w:val="22"/>
        </w:rPr>
        <w:t xml:space="preserve">1:  Initialise θ with ImageNet-1K pretrained MiT-B2 weights</w:t>
      </w:r>
    </w:p>
    <w:p>
      <w:pPr>
        <w:spacing w:after="0" w:before="0"/>
      </w:pPr>
      <w:r>
        <w:rPr>
          <w:rFonts w:ascii="Courier New" w:cs="Courier New" w:eastAsia="Courier New" w:hAnsi="Courier New"/>
          <w:sz w:val="22"/>
          <w:szCs w:val="22"/>
        </w:rPr>
        <w:t xml:space="preserve">2:  Initialise AdamW; encoder LR = 3×10^{-5}, decoder LR = 3×10^{-4}</w:t>
      </w:r>
    </w:p>
    <w:p>
      <w:pPr>
        <w:spacing w:after="0" w:before="0"/>
      </w:pPr>
      <w:r>
        <w:rPr>
          <w:rFonts w:ascii="Courier New" w:cs="Courier New" w:eastAsia="Courier New" w:hAnsi="Courier New"/>
          <w:sz w:val="22"/>
          <w:szCs w:val="22"/>
        </w:rPr>
        <w:t xml:space="preserve">3:  Initialise SGDR scheduler (T_0 = 20, T_mult = 2)</w:t>
      </w:r>
    </w:p>
    <w:p>
      <w:pPr>
        <w:spacing w:after="0" w:before="0"/>
      </w:pPr>
      <w:r>
        <w:rPr>
          <w:rFonts w:ascii="Courier New" w:cs="Courier New" w:eastAsia="Courier New" w:hAnsi="Courier New"/>
          <w:sz w:val="22"/>
          <w:szCs w:val="22"/>
        </w:rPr>
        <w:t xml:space="preserve">4:  best_mIoU ← 0;  wait ← 0</w:t>
      </w:r>
    </w:p>
    <w:p>
      <w:pPr>
        <w:spacing w:after="0" w:before="0"/>
      </w:pPr>
      <w:r>
        <w:rPr>
          <w:rFonts w:ascii="Courier New" w:cs="Courier New" w:eastAsia="Courier New" w:hAnsi="Courier New"/>
          <w:sz w:val="22"/>
          <w:szCs w:val="22"/>
        </w:rPr>
        <w:t xml:space="preserve">5:  for e = 1 to E do</w:t>
      </w:r>
    </w:p>
    <w:p>
      <w:pPr>
        <w:spacing w:after="0" w:before="0"/>
      </w:pPr>
      <w:r>
        <w:rPr>
          <w:rFonts w:ascii="Courier New" w:cs="Courier New" w:eastAsia="Courier New" w:hAnsi="Courier New"/>
          <w:sz w:val="22"/>
          <w:szCs w:val="22"/>
        </w:rPr>
        <w:t xml:space="preserve">6:    for each mini-batch (X_b, Y_b) in D_tr do</w:t>
      </w:r>
    </w:p>
    <w:p>
      <w:pPr>
        <w:spacing w:after="0" w:before="0"/>
      </w:pPr>
      <w:r>
        <w:rPr>
          <w:rFonts w:ascii="Courier New" w:cs="Courier New" w:eastAsia="Courier New" w:hAnsi="Courier New"/>
          <w:sz w:val="22"/>
          <w:szCs w:val="22"/>
        </w:rPr>
        <w:t xml:space="preserve">7:      Apply augmentation to (X_b, Y_b)</w:t>
      </w:r>
    </w:p>
    <w:p>
      <w:pPr>
        <w:spacing w:after="0" w:before="0"/>
      </w:pPr>
      <w:r>
        <w:rPr>
          <w:rFonts w:ascii="Courier New" w:cs="Courier New" w:eastAsia="Courier New" w:hAnsi="Courier New"/>
          <w:sz w:val="22"/>
          <w:szCs w:val="22"/>
        </w:rPr>
        <w:t xml:space="preserve">8:      Ŷ_b ← SegFormer(X_b; θ)             // forward pass</w:t>
      </w:r>
    </w:p>
    <w:p>
      <w:pPr>
        <w:spacing w:after="0" w:before="0"/>
      </w:pPr>
      <w:r>
        <w:rPr>
          <w:rFonts w:ascii="Courier New" w:cs="Courier New" w:eastAsia="Courier New" w:hAnsi="Courier New"/>
          <w:sz w:val="22"/>
          <w:szCs w:val="22"/>
        </w:rPr>
        <w:t xml:space="preserve">9:      ℒ ← 0.70 ℒ_CE + 0.30 ℒ_Dice         // composite loss</w:t>
      </w:r>
    </w:p>
    <w:p>
      <w:pPr>
        <w:spacing w:after="0" w:before="0"/>
      </w:pPr>
      <w:r>
        <w:rPr>
          <w:rFonts w:ascii="Courier New" w:cs="Courier New" w:eastAsia="Courier New" w:hAnsi="Courier New"/>
          <w:sz w:val="22"/>
          <w:szCs w:val="22"/>
        </w:rPr>
        <w:t xml:space="preserve">10:     Update θ via AdamW(∇_θ ℒ)            // backward pass</w:t>
      </w:r>
    </w:p>
    <w:p>
      <w:pPr>
        <w:spacing w:after="0" w:before="0"/>
      </w:pPr>
      <w:r>
        <w:rPr>
          <w:rFonts w:ascii="Courier New" w:cs="Courier New" w:eastAsia="Courier New" w:hAnsi="Courier New"/>
          <w:sz w:val="22"/>
          <w:szCs w:val="22"/>
        </w:rPr>
        <w:t xml:space="preserve">11:   end for</w:t>
      </w:r>
    </w:p>
    <w:p>
      <w:pPr>
        <w:spacing w:after="0" w:before="0"/>
      </w:pPr>
      <w:r>
        <w:rPr>
          <w:rFonts w:ascii="Courier New" w:cs="Courier New" w:eastAsia="Courier New" w:hAnsi="Courier New"/>
          <w:sz w:val="22"/>
          <w:szCs w:val="22"/>
        </w:rPr>
        <w:t xml:space="preserve">12:   Compute mIoU on D_val</w:t>
      </w:r>
    </w:p>
    <w:p>
      <w:pPr>
        <w:spacing w:after="0" w:before="0"/>
      </w:pPr>
      <w:r>
        <w:rPr>
          <w:rFonts w:ascii="Courier New" w:cs="Courier New" w:eastAsia="Courier New" w:hAnsi="Courier New"/>
          <w:sz w:val="22"/>
          <w:szCs w:val="22"/>
        </w:rPr>
        <w:t xml:space="preserve">13:   if val mIoU &gt; best_mIoU then</w:t>
      </w:r>
    </w:p>
    <w:p>
      <w:pPr>
        <w:spacing w:after="0" w:before="0"/>
      </w:pPr>
      <w:r>
        <w:rPr>
          <w:rFonts w:ascii="Courier New" w:cs="Courier New" w:eastAsia="Courier New" w:hAnsi="Courier New"/>
          <w:sz w:val="22"/>
          <w:szCs w:val="22"/>
        </w:rPr>
        <w:t xml:space="preserve">14:     best_mIoU ← val mIoU;  θ* ← θ;  wait ← 0</w:t>
      </w:r>
    </w:p>
    <w:p>
      <w:pPr>
        <w:spacing w:after="0" w:before="0"/>
      </w:pPr>
      <w:r>
        <w:rPr>
          <w:rFonts w:ascii="Courier New" w:cs="Courier New" w:eastAsia="Courier New" w:hAnsi="Courier New"/>
          <w:sz w:val="22"/>
          <w:szCs w:val="22"/>
        </w:rPr>
        <w:t xml:space="preserve">15:   else</w:t>
      </w:r>
    </w:p>
    <w:p>
      <w:pPr>
        <w:spacing w:after="0" w:before="0"/>
      </w:pPr>
      <w:r>
        <w:rPr>
          <w:rFonts w:ascii="Courier New" w:cs="Courier New" w:eastAsia="Courier New" w:hAnsi="Courier New"/>
          <w:sz w:val="22"/>
          <w:szCs w:val="22"/>
        </w:rPr>
        <w:t xml:space="preserve">16:     wait ← wait + 1</w:t>
      </w:r>
    </w:p>
    <w:p>
      <w:pPr>
        <w:spacing w:after="0" w:before="0"/>
      </w:pPr>
      <w:r>
        <w:rPr>
          <w:rFonts w:ascii="Courier New" w:cs="Courier New" w:eastAsia="Courier New" w:hAnsi="Courier New"/>
          <w:sz w:val="22"/>
          <w:szCs w:val="22"/>
        </w:rPr>
        <w:t xml:space="preserve">17:     if wait ≥ P then break  // early stopping</w:t>
      </w:r>
    </w:p>
    <w:p>
      <w:pPr>
        <w:spacing w:after="0" w:before="0"/>
      </w:pPr>
      <w:r>
        <w:rPr>
          <w:rFonts w:ascii="Courier New" w:cs="Courier New" w:eastAsia="Courier New" w:hAnsi="Courier New"/>
          <w:sz w:val="22"/>
          <w:szCs w:val="22"/>
        </w:rPr>
        <w:t xml:space="preserve">18:   end if</w:t>
      </w:r>
    </w:p>
    <w:p>
      <w:pPr>
        <w:spacing w:after="0" w:before="0"/>
      </w:pPr>
      <w:r>
        <w:rPr>
          <w:rFonts w:ascii="Courier New" w:cs="Courier New" w:eastAsia="Courier New" w:hAnsi="Courier New"/>
          <w:sz w:val="22"/>
          <w:szCs w:val="22"/>
        </w:rPr>
        <w:t xml:space="preserve">19:   Step SGDR scheduler</w:t>
      </w:r>
    </w:p>
    <w:p>
      <w:pPr>
        <w:spacing w:after="0" w:before="0"/>
      </w:pPr>
      <w:r>
        <w:rPr>
          <w:rFonts w:ascii="Courier New" w:cs="Courier New" w:eastAsia="Courier New" w:hAnsi="Courier New"/>
          <w:sz w:val="22"/>
          <w:szCs w:val="22"/>
        </w:rPr>
        <w:t xml:space="preserve">20: end for</w:t>
      </w:r>
    </w:p>
    <w:p>
      <w:pPr>
        <w:spacing w:after="0" w:before="0"/>
      </w:pPr>
      <w:r>
        <w:rPr>
          <w:rFonts w:ascii="Courier New" w:cs="Courier New" w:eastAsia="Courier New" w:hAnsi="Courier New"/>
          <w:sz w:val="22"/>
          <w:szCs w:val="22"/>
        </w:rPr>
        <w:t xml:space="preserve">21: return θ*</w:t>
      </w:r>
    </w:p>
    <w:p>
      <w:pPr>
        <w:spacing w:after="160" w:before="80"/>
        <w:jc w:val="center"/>
      </w:pPr>
      <w:r>
        <w:rPr>
          <w:rFonts w:ascii="Times New Roman" w:cs="Times New Roman" w:eastAsia="Times New Roman" w:hAnsi="Times New Roman"/>
          <w:i/>
          <w:iCs/>
          <w:sz w:val="22"/>
          <w:szCs w:val="22"/>
        </w:rPr>
        <w:t xml:space="preserve">Algorithm 1: Complete fine-tuning procedure for road surface damage segmentation.</w:t>
      </w:r>
    </w:p>
    <w:p>
      <w:pPr>
        <w:pStyle w:val="Heading1"/>
        <w:spacing w:after="160" w:before="320"/>
      </w:pPr>
      <w:r>
        <w:rPr>
          <w:rFonts w:ascii="Times New Roman" w:cs="Times New Roman" w:eastAsia="Times New Roman" w:hAnsi="Times New Roman"/>
          <w:b/>
          <w:bCs/>
          <w:color w:val="1A3A5C"/>
          <w:sz w:val="28"/>
          <w:szCs w:val="28"/>
        </w:rPr>
        <w:t xml:space="preserve">5. Experimental Results</w:t>
      </w:r>
    </w:p>
    <w:p>
      <w:pPr>
        <w:pStyle w:val="Heading2"/>
        <w:spacing w:after="120" w:before="240"/>
      </w:pPr>
      <w:r>
        <w:rPr>
          <w:rFonts w:ascii="Times New Roman" w:cs="Times New Roman" w:eastAsia="Times New Roman" w:hAnsi="Times New Roman"/>
          <w:b/>
          <w:bCs/>
          <w:color w:val="1A3A5C"/>
          <w:sz w:val="24"/>
          <w:szCs w:val="24"/>
        </w:rPr>
        <w:t xml:space="preserve">5.1 Evaluation Metrics</w:t>
      </w:r>
    </w:p>
    <w:p>
      <w:pPr>
        <w:spacing w:after="80" w:before="80" w:line="276"/>
        <w:ind/>
        <w:jc w:val="both"/>
      </w:pPr>
      <w:r>
        <w:rPr>
          <w:rFonts w:ascii="Times New Roman" w:cs="Times New Roman" w:eastAsia="Times New Roman" w:hAnsi="Times New Roman"/>
          <w:sz w:val="24"/>
          <w:szCs w:val="24"/>
        </w:rPr>
        <w:t xml:space="preserve">Performance is evaluated using four complementary metrics. Mean Intersection over Union (mIoU) measures the average overlap between predicted and ground-truth regions:</w:t>
      </w:r>
    </w:p>
    <w:p>
      <w:pPr>
        <w:spacing w:after="120" w:before="120"/>
        <w:jc w:val="center"/>
      </w:pPr>
      <w:r>
        <w:rPr>
          <w:rFonts w:ascii="Cambria Math" w:cs="Cambria Math" w:eastAsia="Cambria Math" w:hAnsi="Cambria Math"/>
          <w:sz w:val="24"/>
          <w:szCs w:val="24"/>
        </w:rPr>
        <w:t xml:space="preserve">mIoU = 1/C Σ_c TP_c / (TP_c + FP_c + FN_c)     (Eq. 12)</w:t>
      </w:r>
    </w:p>
    <w:p>
      <w:pPr>
        <w:spacing w:after="80" w:before="80" w:line="276"/>
        <w:ind/>
        <w:jc w:val="both"/>
      </w:pPr>
      <w:r>
        <w:rPr>
          <w:rFonts w:ascii="Times New Roman" w:cs="Times New Roman" w:eastAsia="Times New Roman" w:hAnsi="Times New Roman"/>
          <w:sz w:val="24"/>
          <w:szCs w:val="24"/>
        </w:rPr>
        <w:t xml:space="preserve">Pixel Accuracy (PA) measures the fraction of correctly classified pixels:</w:t>
      </w:r>
    </w:p>
    <w:p>
      <w:pPr>
        <w:spacing w:after="120" w:before="120"/>
        <w:jc w:val="center"/>
      </w:pPr>
      <w:r>
        <w:rPr>
          <w:rFonts w:ascii="Cambria Math" w:cs="Cambria Math" w:eastAsia="Cambria Math" w:hAnsi="Cambria Math"/>
          <w:sz w:val="24"/>
          <w:szCs w:val="24"/>
        </w:rPr>
        <w:t xml:space="preserve">PA = Σ_c TP_c / Σ_c (TP_c + FP_c)     (Eq. 13)</w:t>
      </w:r>
    </w:p>
    <w:p>
      <w:pPr>
        <w:spacing w:after="80" w:before="80" w:line="276"/>
        <w:ind/>
        <w:jc w:val="both"/>
      </w:pPr>
      <w:r>
        <w:rPr>
          <w:rFonts w:ascii="Times New Roman" w:cs="Times New Roman" w:eastAsia="Times New Roman" w:hAnsi="Times New Roman"/>
          <w:sz w:val="24"/>
          <w:szCs w:val="24"/>
        </w:rPr>
        <w:t xml:space="preserve">The per-class F1-score (harmonic mean of precision and recall) is:</w:t>
      </w:r>
    </w:p>
    <w:p>
      <w:pPr>
        <w:spacing w:after="120" w:before="120"/>
        <w:jc w:val="center"/>
      </w:pPr>
      <w:r>
        <w:rPr>
          <w:rFonts w:ascii="Cambria Math" w:cs="Cambria Math" w:eastAsia="Cambria Math" w:hAnsi="Cambria Math"/>
          <w:sz w:val="24"/>
          <w:szCs w:val="24"/>
        </w:rPr>
        <w:t xml:space="preserve">F1_c = 2 TP_c / (2 TP_c + FP_c + FN_c)     (Eq. 14)</w:t>
      </w:r>
    </w:p>
    <w:p>
      <w:pPr>
        <w:spacing w:after="80" w:before="80" w:line="276"/>
        <w:ind/>
        <w:jc w:val="both"/>
      </w:pPr>
      <w:r>
        <w:rPr>
          <w:rFonts w:ascii="Times New Roman" w:cs="Times New Roman" w:eastAsia="Times New Roman" w:hAnsi="Times New Roman"/>
          <w:sz w:val="24"/>
          <w:szCs w:val="24"/>
        </w:rPr>
        <w:t xml:space="preserve">Mean Precision, Recall, and F1 are macro-averaged over all five classes, treating each class equally regardless of frequency.</w:t>
      </w:r>
    </w:p>
    <w:p>
      <w:pPr>
        <w:pStyle w:val="Heading2"/>
        <w:spacing w:after="120" w:before="240"/>
      </w:pPr>
      <w:r>
        <w:rPr>
          <w:rFonts w:ascii="Times New Roman" w:cs="Times New Roman" w:eastAsia="Times New Roman" w:hAnsi="Times New Roman"/>
          <w:b/>
          <w:bCs/>
          <w:color w:val="1A3A5C"/>
          <w:sz w:val="24"/>
          <w:szCs w:val="24"/>
        </w:rPr>
        <w:t xml:space="preserve">5.2 Per-Class Quantitative Results</w:t>
      </w:r>
    </w:p>
    <w:p>
      <w:pPr>
        <w:spacing w:after="80" w:before="80" w:line="276"/>
        <w:ind/>
        <w:jc w:val="both"/>
      </w:pPr>
      <w:r>
        <w:rPr>
          <w:rFonts w:ascii="Times New Roman" w:cs="Times New Roman" w:eastAsia="Times New Roman" w:hAnsi="Times New Roman"/>
          <w:sz w:val="24"/>
          <w:szCs w:val="24"/>
        </w:rPr>
        <w:t xml:space="preserve">Table 6 reports per-class IoU, Precision, Recall, and F1-score on the held-out test set, computed over five independent evaluation runs (mean ± one standard deviation) with different random seeds.</w:t>
      </w:r>
    </w:p>
    <w:p>
      <w:pPr>
        <w:spacing w:after="160" w:before="80"/>
        <w:jc w:val="center"/>
      </w:pPr>
      <w:r>
        <w:rPr>
          <w:rFonts w:ascii="Times New Roman" w:cs="Times New Roman" w:eastAsia="Times New Roman" w:hAnsi="Times New Roman"/>
          <w:i/>
          <w:iCs/>
          <w:sz w:val="22"/>
          <w:szCs w:val="22"/>
        </w:rPr>
        <w:t xml:space="preserve">Table 6: Per-class performance on test set (mean ± std over 5 runs). Bold: mean aggregate.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00"/>
        <w:gridCol w:w="1700"/>
        <w:gridCol w:w="1472"/>
      </w:tblGrid>
      <w:tr>
        <w:trPr>
          <w:tblHeader/>
        </w:trPr>
        <w:tc>
          <w:tcPr>
            <w:tcW w:type="dxa" w:w="25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Class</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IoU (%)</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Prec. (%)</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Rec. (%)</w:t>
            </w:r>
          </w:p>
        </w:tc>
        <w:tc>
          <w:tcPr>
            <w:tcW w:type="dxa" w:w="14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F1 (%)</w:t>
            </w:r>
          </w:p>
        </w:tc>
      </w:tr>
      <w:tr>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Background</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94.1 ± 0.2</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96.8 ± 0.3</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97.2 ± 0.2</w:t>
            </w:r>
          </w:p>
        </w:tc>
        <w:tc>
          <w:tcPr>
            <w:tcW w:type="dxa" w:w="14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97.0 ± 0.2</w:t>
            </w:r>
          </w:p>
        </w:tc>
      </w:tr>
      <w:tr>
        <w:tc>
          <w:tcPr>
            <w:tcW w:type="dxa" w:w="2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Longitudinal Crack</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71.3 ± 0.8</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79.1 ± 1.1</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87.7 ± 0.9</w:t>
            </w:r>
          </w:p>
        </w:tc>
        <w:tc>
          <w:tcPr>
            <w:tcW w:type="dxa" w:w="14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83.2 ± 0.9</w:t>
            </w:r>
          </w:p>
        </w:tc>
      </w:tr>
      <w:tr>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Transverse Crack</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68.9 ± 1.1</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77.3 ± 1.4</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86.7 ± 1.1</w:t>
            </w:r>
          </w:p>
        </w:tc>
        <w:tc>
          <w:tcPr>
            <w:tcW w:type="dxa" w:w="14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81.8 ± 1.2</w:t>
            </w:r>
          </w:p>
        </w:tc>
      </w:tr>
      <w:tr>
        <w:tc>
          <w:tcPr>
            <w:tcW w:type="dxa" w:w="2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Alligator Crack</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74.2 ± 0.9</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82.4 ± 1.0</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88.7 ± 0.8</w:t>
            </w:r>
          </w:p>
        </w:tc>
        <w:tc>
          <w:tcPr>
            <w:tcW w:type="dxa" w:w="14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85.4 ± 0.9</w:t>
            </w:r>
          </w:p>
        </w:tc>
      </w:tr>
      <w:tr>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Pothole</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63.6 ± 1.3</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72.8 ± 1.6</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84.2 ± 1.2</w:t>
            </w:r>
          </w:p>
        </w:tc>
        <w:tc>
          <w:tcPr>
            <w:tcW w:type="dxa" w:w="14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78.1 ± 1.4</w:t>
            </w:r>
          </w:p>
        </w:tc>
      </w:tr>
      <w:tr>
        <w:tc>
          <w:tcPr>
            <w:tcW w:type="dxa" w:w="25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Mean (Proposed)</w:t>
            </w:r>
          </w:p>
        </w:tc>
        <w:tc>
          <w:tcPr>
            <w:tcW w:type="dxa" w:w="17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74.4 ± 0.7</w:t>
            </w:r>
          </w:p>
        </w:tc>
        <w:tc>
          <w:tcPr>
            <w:tcW w:type="dxa" w:w="17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81.7 ± 0.9</w:t>
            </w:r>
          </w:p>
        </w:tc>
        <w:tc>
          <w:tcPr>
            <w:tcW w:type="dxa" w:w="17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88.9 ± 0.7</w:t>
            </w:r>
          </w:p>
        </w:tc>
        <w:tc>
          <w:tcPr>
            <w:tcW w:type="dxa" w:w="1472"/>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85.1 ± 0.8</w:t>
            </w:r>
          </w:p>
        </w:tc>
      </w:tr>
    </w:tbl>
    <w:p>
      <w:pPr>
        <w:spacing w:after="0" w:before="80"/>
      </w:pPr>
      <w:r>
        <w:t xml:space="preserve"/>
      </w:r>
    </w:p>
    <w:p>
      <w:pPr>
        <w:spacing w:after="80" w:before="80" w:line="276"/>
        <w:ind/>
        <w:jc w:val="both"/>
      </w:pPr>
      <w:r>
        <w:rPr>
          <w:rFonts w:ascii="Times New Roman" w:cs="Times New Roman" w:eastAsia="Times New Roman" w:hAnsi="Times New Roman"/>
          <w:sz w:val="24"/>
          <w:szCs w:val="24"/>
        </w:rPr>
        <w:t xml:space="preserve">Pixel Accuracy: 91.2 ± 0.3%.</w:t>
      </w:r>
    </w:p>
    <w:p>
      <w:pPr>
        <w:spacing w:after="80" w:before="80" w:line="276"/>
        <w:ind/>
        <w:jc w:val="both"/>
      </w:pPr>
      <w:r>
        <w:rPr>
          <w:rFonts w:ascii="Times New Roman" w:cs="Times New Roman" w:eastAsia="Times New Roman" w:hAnsi="Times New Roman"/>
          <w:sz w:val="24"/>
          <w:szCs w:val="24"/>
        </w:rPr>
        <w:t xml:space="preserve">The model achieves the highest IoU on background (94.1%) and alligator crack (74.2%). Pothole IoU (63.6%) is lowest, consistent with its smallest pixel frequency (2.00%) and high shape variability. High recall for all damage classes (&gt;84%) demonstrates that the model rarely misses existing damage—the safety-critical error direction for road inspection. Qualitative predictions are shown in Figure 2, and class confusion trends are provided in Figure 3.</w:t>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[Figure: Qualitative segmentation results — Input Image | Ground Truth | Predicted Mask rows for 4 sample images with colour overlays per damage class]</w:t>
      </w:r>
    </w:p>
    <w:p>
      <w:pPr>
        <w:spacing w:after="160" w:before="80"/>
        <w:jc w:val="center"/>
      </w:pPr>
      <w:r>
        <w:rPr>
          <w:rFonts w:ascii="Times New Roman" w:cs="Times New Roman" w:eastAsia="Times New Roman" w:hAnsi="Times New Roman"/>
          <w:i/>
          <w:iCs/>
          <w:sz w:val="22"/>
          <w:szCs w:val="22"/>
        </w:rPr>
        <w:t xml:space="preserve">Figure 2: Qualitative segmentation results on representative test images. Columns: input image, ground-truth mask, predicted mask. Rows: longitudinal crack, alligator crack, pothole, mixed damage scenarios.</w:t>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[Figure: 5×5 Normalised Confusion Matrix with class labels on both axes and percentage values in each cell]</w:t>
      </w:r>
    </w:p>
    <w:p>
      <w:pPr>
        <w:spacing w:after="160" w:before="80"/>
        <w:jc w:val="center"/>
      </w:pPr>
      <w:r>
        <w:rPr>
          <w:rFonts w:ascii="Times New Roman" w:cs="Times New Roman" w:eastAsia="Times New Roman" w:hAnsi="Times New Roman"/>
          <w:i/>
          <w:iCs/>
          <w:sz w:val="22"/>
          <w:szCs w:val="22"/>
        </w:rPr>
        <w:t xml:space="preserve">Figure 3: Normalised confusion matrix on the test set. Principal confusion occurs between transverse cracks and alligator cracks (11.3% mutual misclassification), reflecting similar elongated morphology.</w:t>
      </w:r>
    </w:p>
    <w:p>
      <w:pPr>
        <w:pStyle w:val="Heading2"/>
        <w:spacing w:after="120" w:before="240"/>
      </w:pPr>
      <w:r>
        <w:rPr>
          <w:rFonts w:ascii="Times New Roman" w:cs="Times New Roman" w:eastAsia="Times New Roman" w:hAnsi="Times New Roman"/>
          <w:b/>
          <w:bCs/>
          <w:color w:val="1A3A5C"/>
          <w:sz w:val="24"/>
          <w:szCs w:val="24"/>
        </w:rPr>
        <w:t xml:space="preserve">5.3 Comparison with Baseline Methods</w:t>
      </w:r>
    </w:p>
    <w:p>
      <w:pPr>
        <w:spacing w:after="80" w:before="80" w:line="276"/>
        <w:ind/>
        <w:jc w:val="both"/>
      </w:pPr>
      <w:r>
        <w:rPr>
          <w:rFonts w:ascii="Times New Roman" w:cs="Times New Roman" w:eastAsia="Times New Roman" w:hAnsi="Times New Roman"/>
          <w:sz w:val="24"/>
          <w:szCs w:val="24"/>
        </w:rPr>
        <w:t xml:space="preserve">Table 7 compares the proposed framework against five established segmentation baselines, all fine-tuned on identical dataset partitions using the same preprocessing pipeline and evaluation protocol. Figure 4 provides a bar chart comparison of mIoU across all methods.</w:t>
      </w:r>
    </w:p>
    <w:p>
      <w:pPr>
        <w:spacing w:after="160" w:before="80"/>
        <w:jc w:val="center"/>
      </w:pPr>
      <w:r>
        <w:rPr>
          <w:rFonts w:ascii="Times New Roman" w:cs="Times New Roman" w:eastAsia="Times New Roman" w:hAnsi="Times New Roman"/>
          <w:i/>
          <w:iCs/>
          <w:sz w:val="22"/>
          <w:szCs w:val="22"/>
        </w:rPr>
        <w:t xml:space="preserve">Table 7: Comparative performance of proposed SegFormer-B2 versus baselines on the test set.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200"/>
        <w:gridCol w:w="1200"/>
        <w:gridCol w:w="1100"/>
        <w:gridCol w:w="1200"/>
        <w:gridCol w:w="972"/>
      </w:tblGrid>
      <w:tr>
        <w:trPr>
          <w:tblHeader/>
        </w:trPr>
        <w:tc>
          <w:tcPr>
            <w:tcW w:type="dxa" w:w="21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13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Backbone</w:t>
            </w:r>
          </w:p>
        </w:tc>
        <w:tc>
          <w:tcPr>
            <w:tcW w:type="dxa" w:w="1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Params (M)</w:t>
            </w:r>
          </w:p>
        </w:tc>
        <w:tc>
          <w:tcPr>
            <w:tcW w:type="dxa" w:w="1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mIoU (%)</w:t>
            </w:r>
          </w:p>
        </w:tc>
        <w:tc>
          <w:tcPr>
            <w:tcW w:type="dxa" w:w="11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 (%)</w:t>
            </w:r>
          </w:p>
        </w:tc>
        <w:tc>
          <w:tcPr>
            <w:tcW w:type="dxa" w:w="12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mF1 (%)</w:t>
            </w:r>
          </w:p>
        </w:tc>
        <w:tc>
          <w:tcPr>
            <w:tcW w:type="dxa" w:w="9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FPS</w:t>
            </w:r>
          </w:p>
        </w:tc>
      </w:tr>
      <w:tr>
        <w:tc>
          <w:tcPr>
            <w:tcW w:type="dxa" w:w="2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FCN-8s [7]</w:t>
            </w:r>
          </w:p>
        </w:tc>
        <w:tc>
          <w:tcPr>
            <w:tcW w:type="dxa" w:w="13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VGG-16</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134.5</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52.1</w:t>
            </w:r>
          </w:p>
        </w:tc>
        <w:tc>
          <w:tcPr>
            <w:tcW w:type="dxa" w:w="1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79.3</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65.8</w:t>
            </w:r>
          </w:p>
        </w:tc>
        <w:tc>
          <w:tcPr>
            <w:tcW w:type="dxa" w:w="9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45.5</w:t>
            </w:r>
          </w:p>
        </w:tc>
      </w:tr>
      <w:tr>
        <w:tc>
          <w:tcPr>
            <w:tcW w:type="dxa" w:w="2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U-Net [8]</w:t>
            </w:r>
          </w:p>
        </w:tc>
        <w:tc>
          <w:tcPr>
            <w:tcW w:type="dxa" w:w="13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ResNet-34</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24.4</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61.4</w:t>
            </w:r>
          </w:p>
        </w:tc>
        <w:tc>
          <w:tcPr>
            <w:tcW w:type="dxa" w:w="1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84.7</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74.2</w:t>
            </w:r>
          </w:p>
        </w:tc>
        <w:tc>
          <w:tcPr>
            <w:tcW w:type="dxa" w:w="9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32.3</w:t>
            </w:r>
          </w:p>
        </w:tc>
      </w:tr>
      <w:tr>
        <w:tc>
          <w:tcPr>
            <w:tcW w:type="dxa" w:w="2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PSPNet [19]</w:t>
            </w:r>
          </w:p>
        </w:tc>
        <w:tc>
          <w:tcPr>
            <w:tcW w:type="dxa" w:w="13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ResNet-50</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46.7</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66.3</w:t>
            </w:r>
          </w:p>
        </w:tc>
        <w:tc>
          <w:tcPr>
            <w:tcW w:type="dxa" w:w="1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87.1</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78.6</w:t>
            </w:r>
          </w:p>
        </w:tc>
        <w:tc>
          <w:tcPr>
            <w:tcW w:type="dxa" w:w="9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18.5</w:t>
            </w:r>
          </w:p>
        </w:tc>
      </w:tr>
      <w:tr>
        <w:tc>
          <w:tcPr>
            <w:tcW w:type="dxa" w:w="2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DeepLabv3+ [10]</w:t>
            </w:r>
          </w:p>
        </w:tc>
        <w:tc>
          <w:tcPr>
            <w:tcW w:type="dxa" w:w="13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ResNet-101</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59.3</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68.9</w:t>
            </w:r>
          </w:p>
        </w:tc>
        <w:tc>
          <w:tcPr>
            <w:tcW w:type="dxa" w:w="1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88.2</w:t>
            </w:r>
          </w:p>
        </w:tc>
        <w:tc>
          <w:tcPr>
            <w:tcW w:type="dxa" w:w="12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81.2</w:t>
            </w:r>
          </w:p>
        </w:tc>
        <w:tc>
          <w:tcPr>
            <w:tcW w:type="dxa" w:w="9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14.9</w:t>
            </w:r>
          </w:p>
        </w:tc>
      </w:tr>
      <w:tr>
        <w:tc>
          <w:tcPr>
            <w:tcW w:type="dxa" w:w="2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Swin-UNet [12]</w:t>
            </w:r>
          </w:p>
        </w:tc>
        <w:tc>
          <w:tcPr>
            <w:tcW w:type="dxa" w:w="13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Swin-T</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41.3</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71.2</w:t>
            </w:r>
          </w:p>
        </w:tc>
        <w:tc>
          <w:tcPr>
            <w:tcW w:type="dxa" w:w="1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89.6</w:t>
            </w:r>
          </w:p>
        </w:tc>
        <w:tc>
          <w:tcPr>
            <w:tcW w:type="dxa" w:w="12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83.1</w:t>
            </w:r>
          </w:p>
        </w:tc>
        <w:tc>
          <w:tcPr>
            <w:tcW w:type="dxa" w:w="9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17.2</w:t>
            </w:r>
          </w:p>
        </w:tc>
      </w:tr>
      <w:tr>
        <w:tc>
          <w:tcPr>
            <w:tcW w:type="dxa" w:w="21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Ours (SegFormer-B2)</w:t>
            </w:r>
          </w:p>
        </w:tc>
        <w:tc>
          <w:tcPr>
            <w:tcW w:type="dxa" w:w="13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MiT-B2</w:t>
            </w:r>
          </w:p>
        </w:tc>
        <w:tc>
          <w:tcPr>
            <w:tcW w:type="dxa" w:w="12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28.5</w:t>
            </w:r>
          </w:p>
        </w:tc>
        <w:tc>
          <w:tcPr>
            <w:tcW w:type="dxa" w:w="12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74.4</w:t>
            </w:r>
          </w:p>
        </w:tc>
        <w:tc>
          <w:tcPr>
            <w:tcW w:type="dxa" w:w="11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91.2</w:t>
            </w:r>
          </w:p>
        </w:tc>
        <w:tc>
          <w:tcPr>
            <w:tcW w:type="dxa" w:w="12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85.1</w:t>
            </w:r>
          </w:p>
        </w:tc>
        <w:tc>
          <w:tcPr>
            <w:tcW w:type="dxa" w:w="972"/>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26.3</w:t>
            </w:r>
          </w:p>
        </w:tc>
      </w:tr>
    </w:tbl>
    <w:p>
      <w:pPr>
        <w:spacing w:after="0" w:before="80"/>
      </w:pPr>
      <w:r>
        <w:t xml:space="preserve"/>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[Bar Chart: mIoU Comparison — X-axis: Methods (FCN-8s, U-Net, PSPNet, DeepLabv3+, Swin-UNet, Proposed); Y-axis: mIoU (%) from 0–100. Proposed bar in dark blue, highlighted as highest at 74.4%]</w:t>
      </w:r>
    </w:p>
    <w:p>
      <w:pPr>
        <w:spacing w:after="160" w:before="80"/>
        <w:jc w:val="center"/>
      </w:pPr>
      <w:r>
        <w:rPr>
          <w:rFonts w:ascii="Times New Roman" w:cs="Times New Roman" w:eastAsia="Times New Roman" w:hAnsi="Times New Roman"/>
          <w:i/>
          <w:iCs/>
          <w:sz w:val="22"/>
          <w:szCs w:val="22"/>
        </w:rPr>
        <w:t xml:space="preserve">Figure 4: Bar chart comparison of mIoU (%) across all evaluated methods. The proposed SegFormer-B2 achieves the highest mIoU of 74.4%, outperforming all baselines.</w:t>
      </w:r>
    </w:p>
    <w:p>
      <w:pPr>
        <w:spacing w:after="80" w:before="80" w:line="276"/>
        <w:ind/>
        <w:jc w:val="both"/>
      </w:pPr>
      <w:r>
        <w:rPr>
          <w:rFonts w:ascii="Times New Roman" w:cs="Times New Roman" w:eastAsia="Times New Roman" w:hAnsi="Times New Roman"/>
          <w:sz w:val="24"/>
          <w:szCs w:val="24"/>
        </w:rPr>
        <w:t xml:space="preserve">The proposed SegFormer framework achieves the highest mIoU (74.4%), PA (91.2%), and mF1 (85.1%) with only 28.5M parameters—5.8× fewer than FCN-8s and 2.1× fewer than DeepLabv3+—at 26.3 FPS, exceeding the 25 FPS real-time threshold. The mIoU improvement over the nearest baseline (Swin-UNet) is +3.2 percentage points, a statistically significant margin (paired t-test, p &lt; 0.01 over 5 independent runs).</w:t>
      </w:r>
    </w:p>
    <w:p>
      <w:pPr>
        <w:pStyle w:val="Heading2"/>
        <w:spacing w:after="120" w:before="240"/>
      </w:pPr>
      <w:r>
        <w:rPr>
          <w:rFonts w:ascii="Times New Roman" w:cs="Times New Roman" w:eastAsia="Times New Roman" w:hAnsi="Times New Roman"/>
          <w:b/>
          <w:bCs/>
          <w:color w:val="1A3A5C"/>
          <w:sz w:val="24"/>
          <w:szCs w:val="24"/>
        </w:rPr>
        <w:t xml:space="preserve">5.4 Training Dynamics</w:t>
      </w:r>
    </w:p>
    <w:p>
      <w:pPr>
        <w:spacing w:after="80" w:before="80" w:line="276"/>
        <w:ind/>
        <w:jc w:val="both"/>
      </w:pPr>
      <w:r>
        <w:rPr>
          <w:rFonts w:ascii="Times New Roman" w:cs="Times New Roman" w:eastAsia="Times New Roman" w:hAnsi="Times New Roman"/>
          <w:sz w:val="24"/>
          <w:szCs w:val="24"/>
        </w:rPr>
        <w:t xml:space="preserve">The combined loss decreases from 1.82 to 0.31 over 80 epochs. Validation mIoU increases from 48.3% (epoch 1) to a peak of 78.4% (epoch 72), as illustrated in Figure 5. Visible mIoU improvements of +1.4% and +1.8% occur at SGDR restart cycles (epochs 21 and 61), confirming the utility of warm restarts. The test set mIoU of 74.4% versus validation 78.4% reflects a small generalisation gap consistent with domain-specific fine-tuning literature.</w:t>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[Figure: Training Loss Curve (left) and Validation mIoU Curve (right) over 80 epochs. SGDR restart points marked with vertical dashed lines at epochs 20 and 60.]</w:t>
      </w:r>
    </w:p>
    <w:p>
      <w:pPr>
        <w:spacing w:after="160" w:before="80"/>
        <w:jc w:val="center"/>
      </w:pPr>
      <w:r>
        <w:rPr>
          <w:rFonts w:ascii="Times New Roman" w:cs="Times New Roman" w:eastAsia="Times New Roman" w:hAnsi="Times New Roman"/>
          <w:i/>
          <w:iCs/>
          <w:sz w:val="22"/>
          <w:szCs w:val="22"/>
        </w:rPr>
        <w:t xml:space="preserve">Figure 5: Training dynamics. (Left) Combined loss curve showing monotonic decrease from 1.82 to 0.31. (Right) Validation mIoU curve with SGDR warm restart jumps at epochs 20 and 60 (dashed lines).</w:t>
      </w:r>
    </w:p>
    <w:p>
      <w:pPr>
        <w:pStyle w:val="Heading2"/>
        <w:spacing w:after="120" w:before="240"/>
      </w:pPr>
      <w:r>
        <w:rPr>
          <w:rFonts w:ascii="Times New Roman" w:cs="Times New Roman" w:eastAsia="Times New Roman" w:hAnsi="Times New Roman"/>
          <w:b/>
          <w:bCs/>
          <w:color w:val="1A3A5C"/>
          <w:sz w:val="24"/>
          <w:szCs w:val="24"/>
        </w:rPr>
        <w:t xml:space="preserve">5.5 Inference Latency Analysis</w:t>
      </w:r>
    </w:p>
    <w:p>
      <w:pPr>
        <w:spacing w:after="80" w:before="80" w:line="276"/>
        <w:ind/>
        <w:jc w:val="both"/>
      </w:pPr>
      <w:r>
        <w:rPr>
          <w:rFonts w:ascii="Times New Roman" w:cs="Times New Roman" w:eastAsia="Times New Roman" w:hAnsi="Times New Roman"/>
          <w:sz w:val="24"/>
          <w:szCs w:val="24"/>
        </w:rPr>
        <w:t xml:space="preserve">Table 8 reports per-model inference resource consumption on the NVIDIA RTX 3080. Figure 6 provides a comparative latency and throughput chart for all evaluated methods.</w:t>
      </w:r>
    </w:p>
    <w:p>
      <w:pPr>
        <w:spacing w:after="160" w:before="80"/>
        <w:jc w:val="center"/>
      </w:pPr>
      <w:r>
        <w:rPr>
          <w:rFonts w:ascii="Times New Roman" w:cs="Times New Roman" w:eastAsia="Times New Roman" w:hAnsi="Times New Roman"/>
          <w:i/>
          <w:iCs/>
          <w:sz w:val="22"/>
          <w:szCs w:val="22"/>
        </w:rPr>
        <w:t xml:space="preserve">Table 8: Inference resource analysis on NVIDIA RTX 3080 (batch size = 1, input 512×512).</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700"/>
        <w:gridCol w:w="1700"/>
        <w:gridCol w:w="1572"/>
      </w:tblGrid>
      <w:tr>
        <w:trPr>
          <w:tblHeader/>
        </w:trPr>
        <w:tc>
          <w:tcPr>
            <w:tcW w:type="dxa" w:w="25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Model</w:t>
            </w:r>
          </w:p>
        </w:tc>
        <w:tc>
          <w:tcPr>
            <w:tcW w:type="dxa" w:w="16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Latency (ms)</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FPS</w:t>
            </w:r>
          </w:p>
        </w:tc>
        <w:tc>
          <w:tcPr>
            <w:tcW w:type="dxa" w:w="17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VRAM (GB)</w:t>
            </w:r>
          </w:p>
        </w:tc>
        <w:tc>
          <w:tcPr>
            <w:tcW w:type="dxa" w:w="15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Params (M)</w:t>
            </w:r>
          </w:p>
        </w:tc>
      </w:tr>
      <w:tr>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FCN-8s</w:t>
            </w:r>
          </w:p>
        </w:tc>
        <w:tc>
          <w:tcPr>
            <w:tcW w:type="dxa" w:w="16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22</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45.5</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3.1</w:t>
            </w:r>
          </w:p>
        </w:tc>
        <w:tc>
          <w:tcPr>
            <w:tcW w:type="dxa" w:w="15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134.5</w:t>
            </w:r>
          </w:p>
        </w:tc>
      </w:tr>
      <w:tr>
        <w:tc>
          <w:tcPr>
            <w:tcW w:type="dxa" w:w="2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U-Net</w:t>
            </w:r>
          </w:p>
        </w:tc>
        <w:tc>
          <w:tcPr>
            <w:tcW w:type="dxa" w:w="16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31</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32.3</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2.8</w:t>
            </w:r>
          </w:p>
        </w:tc>
        <w:tc>
          <w:tcPr>
            <w:tcW w:type="dxa" w:w="15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24.4</w:t>
            </w:r>
          </w:p>
        </w:tc>
      </w:tr>
      <w:tr>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PSPNet</w:t>
            </w:r>
          </w:p>
        </w:tc>
        <w:tc>
          <w:tcPr>
            <w:tcW w:type="dxa" w:w="16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54</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18.5</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5.2</w:t>
            </w:r>
          </w:p>
        </w:tc>
        <w:tc>
          <w:tcPr>
            <w:tcW w:type="dxa" w:w="15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46.7</w:t>
            </w:r>
          </w:p>
        </w:tc>
      </w:tr>
      <w:tr>
        <w:tc>
          <w:tcPr>
            <w:tcW w:type="dxa" w:w="25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DeepLabv3+</w:t>
            </w:r>
          </w:p>
        </w:tc>
        <w:tc>
          <w:tcPr>
            <w:tcW w:type="dxa" w:w="16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67</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14.9</w:t>
            </w:r>
          </w:p>
        </w:tc>
        <w:tc>
          <w:tcPr>
            <w:tcW w:type="dxa" w:w="17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6.8</w:t>
            </w:r>
          </w:p>
        </w:tc>
        <w:tc>
          <w:tcPr>
            <w:tcW w:type="dxa" w:w="15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59.3</w:t>
            </w:r>
          </w:p>
        </w:tc>
      </w:tr>
      <w:tr>
        <w:tc>
          <w:tcPr>
            <w:tcW w:type="dxa" w:w="25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Swin-UNet</w:t>
            </w:r>
          </w:p>
        </w:tc>
        <w:tc>
          <w:tcPr>
            <w:tcW w:type="dxa" w:w="16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58</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17.2</w:t>
            </w:r>
          </w:p>
        </w:tc>
        <w:tc>
          <w:tcPr>
            <w:tcW w:type="dxa" w:w="17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5.9</w:t>
            </w:r>
          </w:p>
        </w:tc>
        <w:tc>
          <w:tcPr>
            <w:tcW w:type="dxa" w:w="15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41.3</w:t>
            </w:r>
          </w:p>
        </w:tc>
      </w:tr>
      <w:tr>
        <w:tc>
          <w:tcPr>
            <w:tcW w:type="dxa" w:w="25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Proposed (SegFormer-B2)</w:t>
            </w:r>
          </w:p>
        </w:tc>
        <w:tc>
          <w:tcPr>
            <w:tcW w:type="dxa" w:w="16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38</w:t>
            </w:r>
          </w:p>
        </w:tc>
        <w:tc>
          <w:tcPr>
            <w:tcW w:type="dxa" w:w="17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26.3</w:t>
            </w:r>
          </w:p>
        </w:tc>
        <w:tc>
          <w:tcPr>
            <w:tcW w:type="dxa" w:w="17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4.2</w:t>
            </w:r>
          </w:p>
        </w:tc>
        <w:tc>
          <w:tcPr>
            <w:tcW w:type="dxa" w:w="1572"/>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28.5</w:t>
            </w:r>
          </w:p>
        </w:tc>
      </w:tr>
    </w:tbl>
    <w:p>
      <w:pPr>
        <w:spacing w:after="0" w:before="80"/>
      </w:pPr>
      <w:r>
        <w:t xml:space="preserve"/>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[Grouped Bar Chart: Inference latency (ms) and FPS for all models. Horizontal dashed lines at 40ms and 25FPS thresholds. Proposed model shown in blue, all others in grey.]</w:t>
      </w:r>
    </w:p>
    <w:p>
      <w:pPr>
        <w:spacing w:after="160" w:before="80"/>
        <w:jc w:val="center"/>
      </w:pPr>
      <w:r>
        <w:rPr>
          <w:rFonts w:ascii="Times New Roman" w:cs="Times New Roman" w:eastAsia="Times New Roman" w:hAnsi="Times New Roman"/>
          <w:i/>
          <w:iCs/>
          <w:sz w:val="22"/>
          <w:szCs w:val="22"/>
        </w:rPr>
        <w:t xml:space="preserve">Figure 6: Inference latency (ms, lower is better) and FPS (higher is better) for all evaluated models. Red dashed line: 40 ms threshold; green dashed line: 25 FPS real-time threshold.</w:t>
      </w:r>
    </w:p>
    <w:p>
      <w:pPr>
        <w:pStyle w:val="Heading1"/>
        <w:spacing w:after="160" w:before="320"/>
      </w:pPr>
      <w:r>
        <w:rPr>
          <w:rFonts w:ascii="Times New Roman" w:cs="Times New Roman" w:eastAsia="Times New Roman" w:hAnsi="Times New Roman"/>
          <w:b/>
          <w:bCs/>
          <w:color w:val="1A3A5C"/>
          <w:sz w:val="28"/>
          <w:szCs w:val="28"/>
        </w:rPr>
        <w:t xml:space="preserve">6. Deployment Framework</w:t>
      </w:r>
    </w:p>
    <w:p>
      <w:pPr>
        <w:spacing w:after="80" w:before="80" w:line="276"/>
        <w:ind/>
        <w:jc w:val="both"/>
      </w:pPr>
      <w:r>
        <w:rPr>
          <w:rFonts w:ascii="Times New Roman" w:cs="Times New Roman" w:eastAsia="Times New Roman" w:hAnsi="Times New Roman"/>
          <w:sz w:val="24"/>
          <w:szCs w:val="24"/>
        </w:rPr>
        <w:t xml:space="preserve">The trained model is exported to TorchScript format for optimised inference and integrated into a Flask 3.0 web application. The deployment stack comprises: (i) an HTML5/JavaScript frontend with drag-and-drop upload, MediaDevices API webcam capture, and WebSocket streaming; (ii) a Flask/Gunicorn WSGI backend with a dedicated GPU inference subprocess; (iii) a TorchScript model loaded once at server startup; and (iv) SQLite user authentication with JWT session tokens.</w:t>
      </w:r>
    </w:p>
    <w:p>
      <w:pPr>
        <w:spacing w:after="80" w:before="80" w:line="276"/>
        <w:ind/>
        <w:jc w:val="both"/>
      </w:pPr>
      <w:r>
        <w:rPr>
          <w:rFonts w:ascii="Times New Roman" w:cs="Times New Roman" w:eastAsia="Times New Roman" w:hAnsi="Times New Roman"/>
          <w:sz w:val="24"/>
          <w:szCs w:val="24"/>
        </w:rPr>
        <w:t xml:space="preserve">Image Upload Mode: Uploaded images are decoded, resized, normalised, and passed through the TorchScript model. The predicted class map is bilinearly upsampled to the original resolution and rendered with per-class colour overlays at opacity α = 0.5.</w:t>
      </w:r>
    </w:p>
    <w:p>
      <w:pPr>
        <w:spacing w:after="80" w:before="80" w:line="276"/>
        <w:ind/>
        <w:jc w:val="both"/>
      </w:pPr>
      <w:r>
        <w:rPr>
          <w:rFonts w:ascii="Times New Roman" w:cs="Times New Roman" w:eastAsia="Times New Roman" w:hAnsi="Times New Roman"/>
          <w:sz w:val="24"/>
          <w:szCs w:val="24"/>
        </w:rPr>
        <w:t xml:space="preserve">Video Processing Mode: Uploaded video files are decoded frame-by-frame via OpenCV VideoCapture; each frame is processed and annotated with a damage overlay and statistics banner, then re-encoded into MP4 (H.264). Total throughput: 21.4 FPS (accounting for decode, inference, and encode overhead).</w:t>
      </w:r>
    </w:p>
    <w:p>
      <w:pPr>
        <w:spacing w:after="80" w:before="80" w:line="276"/>
        <w:ind/>
        <w:jc w:val="both"/>
      </w:pPr>
      <w:r>
        <w:rPr>
          <w:rFonts w:ascii="Times New Roman" w:cs="Times New Roman" w:eastAsia="Times New Roman" w:hAnsi="Times New Roman"/>
          <w:sz w:val="24"/>
          <w:szCs w:val="24"/>
        </w:rPr>
        <w:t xml:space="preserve">Live Webcam Mode: Client JavaScript captures frames at 640×480 and transmits base64 JPEG strings over WebSocket. The server decodes, infers, and returns annotated frames as base64 PNG. End-to-end round-trip latency on a local area network: 64 ms (15.6 FPS effective).</w:t>
      </w:r>
    </w:p>
    <w:p>
      <w:pPr>
        <w:spacing w:after="80" w:before="80" w:line="276"/>
        <w:ind/>
        <w:jc w:val="both"/>
      </w:pPr>
      <w:r>
        <w:rPr>
          <w:rFonts w:ascii="Times New Roman" w:cs="Times New Roman" w:eastAsia="Times New Roman" w:hAnsi="Times New Roman"/>
          <w:sz w:val="24"/>
          <w:szCs w:val="24"/>
        </w:rPr>
        <w:t xml:space="preserve">Scalability: The TorchScript model is thread-safe and can be served by multiple Gunicorn workers. Horizontal scaling via Docker and Kubernetes enables linear throughput scaling across GPU nodes. INT8 quantisation via TensorRT can reduce VRAM usage by ~4× and increase throughput by ~2.5× at sub-1% mIoU degradation based on preliminary experiments.</w:t>
      </w:r>
    </w:p>
    <w:p>
      <w:pPr>
        <w:pStyle w:val="Heading1"/>
        <w:spacing w:after="160" w:before="320"/>
      </w:pPr>
      <w:r>
        <w:rPr>
          <w:rFonts w:ascii="Times New Roman" w:cs="Times New Roman" w:eastAsia="Times New Roman" w:hAnsi="Times New Roman"/>
          <w:b/>
          <w:bCs/>
          <w:color w:val="1A3A5C"/>
          <w:sz w:val="28"/>
          <w:szCs w:val="28"/>
        </w:rPr>
        <w:t xml:space="preserve">7. Ablation Studies</w:t>
      </w:r>
    </w:p>
    <w:p>
      <w:pPr>
        <w:spacing w:after="80" w:before="80" w:line="276"/>
        <w:ind/>
        <w:jc w:val="both"/>
      </w:pPr>
      <w:r>
        <w:rPr>
          <w:rFonts w:ascii="Times New Roman" w:cs="Times New Roman" w:eastAsia="Times New Roman" w:hAnsi="Times New Roman"/>
          <w:sz w:val="24"/>
          <w:szCs w:val="24"/>
        </w:rPr>
        <w:t xml:space="preserve">Table 9 reports validation mIoU for systematic ablation experiments, modifying one component at a time from the full proposed configuration under identical hardware, dataset, and random seed. Figure 7 provides a graphical comparison of ablation results.</w:t>
      </w:r>
    </w:p>
    <w:p>
      <w:pPr>
        <w:spacing w:after="160" w:before="80"/>
        <w:jc w:val="center"/>
      </w:pPr>
      <w:r>
        <w:rPr>
          <w:rFonts w:ascii="Times New Roman" w:cs="Times New Roman" w:eastAsia="Times New Roman" w:hAnsi="Times New Roman"/>
          <w:i/>
          <w:iCs/>
          <w:sz w:val="22"/>
          <w:szCs w:val="22"/>
        </w:rPr>
        <w:t xml:space="preserve">Table 9: Ablation study — validation mIoU for each configuration. Each experiment modifies one component from the full proposed configuration (A5).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6100"/>
        <w:gridCol w:w="2072"/>
      </w:tblGrid>
      <w:tr>
        <w:trPr>
          <w:tblHeader/>
        </w:trPr>
        <w:tc>
          <w:tcPr>
            <w:tcW w:type="dxa" w:w="9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Exp.</w:t>
            </w:r>
          </w:p>
        </w:tc>
        <w:tc>
          <w:tcPr>
            <w:tcW w:type="dxa" w:w="6100"/>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Configuration</w:t>
            </w:r>
          </w:p>
        </w:tc>
        <w:tc>
          <w:tcPr>
            <w:tcW w:type="dxa" w:w="2072"/>
            <w:tcBorders>
              <w:top w:val="single" w:color="1A5276" w:sz="6"/>
              <w:left w:val="single" w:color="1A5276" w:sz="6"/>
              <w:bottom w:val="single" w:color="1A5276" w:sz="6"/>
              <w:right w:val="single" w:color="1A5276" w:sz="6"/>
            </w:tcBorders>
            <w:shd w:fill="1A3A5C"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Val mIoU (%)</w:t>
            </w:r>
          </w:p>
        </w:tc>
      </w:tr>
      <w:tr>
        <w:tc>
          <w:tcPr>
            <w:tcW w:type="dxa" w:w="9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A1</w:t>
            </w:r>
          </w:p>
        </w:tc>
        <w:tc>
          <w:tcPr>
            <w:tcW w:type="dxa" w:w="6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Baseline: MiT-B2, CE, uniform weights, fixed LR, no augmentation</w:t>
            </w:r>
          </w:p>
        </w:tc>
        <w:tc>
          <w:tcPr>
            <w:tcW w:type="dxa" w:w="20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65.3</w:t>
            </w:r>
          </w:p>
        </w:tc>
      </w:tr>
      <w:tr>
        <w:tc>
          <w:tcPr>
            <w:tcW w:type="dxa" w:w="9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A2</w:t>
            </w:r>
          </w:p>
        </w:tc>
        <w:tc>
          <w:tcPr>
            <w:tcW w:type="dxa" w:w="6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A1 + Weighted CE (class weights from Eq.1)</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68.7</w:t>
            </w:r>
          </w:p>
        </w:tc>
      </w:tr>
      <w:tr>
        <w:tc>
          <w:tcPr>
            <w:tcW w:type="dxa" w:w="9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A3</w:t>
            </w:r>
          </w:p>
        </w:tc>
        <w:tc>
          <w:tcPr>
            <w:tcW w:type="dxa" w:w="6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A2 + Soft Dice Loss (composite loss)</w:t>
            </w:r>
          </w:p>
        </w:tc>
        <w:tc>
          <w:tcPr>
            <w:tcW w:type="dxa" w:w="20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71.4</w:t>
            </w:r>
          </w:p>
        </w:tc>
      </w:tr>
      <w:tr>
        <w:tc>
          <w:tcPr>
            <w:tcW w:type="dxa" w:w="9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A4</w:t>
            </w:r>
          </w:p>
        </w:tc>
        <w:tc>
          <w:tcPr>
            <w:tcW w:type="dxa" w:w="6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A3 + SGDR cosine annealing with warm restarts</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75.1</w:t>
            </w:r>
          </w:p>
        </w:tc>
      </w:tr>
      <w:tr>
        <w:tc>
          <w:tcPr>
            <w:tcW w:type="dxa" w:w="9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A5</w:t>
            </w:r>
          </w:p>
        </w:tc>
        <w:tc>
          <w:tcPr>
            <w:tcW w:type="dxa" w:w="6100"/>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Full proposed: A4 + comprehensive augmentation (Albumentations)</w:t>
            </w:r>
          </w:p>
        </w:tc>
        <w:tc>
          <w:tcPr>
            <w:tcW w:type="dxa" w:w="2072"/>
            <w:tcBorders>
              <w:top w:val="single" w:color="2C3E50" w:sz="4"/>
              <w:left w:val="single" w:color="2C3E50" w:sz="4"/>
              <w:bottom w:val="single" w:color="2C3E50" w:sz="4"/>
              <w:right w:val="single" w:color="2C3E50" w:sz="4"/>
            </w:tcBorders>
            <w:shd w:fill="C6EFCE"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78.4</w:t>
            </w:r>
          </w:p>
        </w:tc>
      </w:tr>
      <w:tr>
        <w:tc>
          <w:tcPr>
            <w:tcW w:type="dxa" w:w="9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A6</w:t>
            </w:r>
          </w:p>
        </w:tc>
        <w:tc>
          <w:tcPr>
            <w:tcW w:type="dxa" w:w="6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Lighter backbone: MiT-B0 with full configuration</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70.9</w:t>
            </w:r>
          </w:p>
        </w:tc>
      </w:tr>
      <w:tr>
        <w:tc>
          <w:tcPr>
            <w:tcW w:type="dxa" w:w="9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A7</w:t>
            </w:r>
          </w:p>
        </w:tc>
        <w:tc>
          <w:tcPr>
            <w:tcW w:type="dxa" w:w="6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Heavier backbone: MiT-B4 with full configuration</w:t>
            </w:r>
          </w:p>
        </w:tc>
        <w:tc>
          <w:tcPr>
            <w:tcW w:type="dxa" w:w="20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79.6</w:t>
            </w:r>
          </w:p>
        </w:tc>
      </w:tr>
      <w:tr>
        <w:tc>
          <w:tcPr>
            <w:tcW w:type="dxa" w:w="9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A8</w:t>
            </w:r>
          </w:p>
        </w:tc>
        <w:tc>
          <w:tcPr>
            <w:tcW w:type="dxa" w:w="6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No pretraining: MiT-B2, random initialisation, full configuration</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63.1</w:t>
            </w:r>
          </w:p>
        </w:tc>
      </w:tr>
      <w:tr>
        <w:tc>
          <w:tcPr>
            <w:tcW w:type="dxa" w:w="9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A9</w:t>
            </w:r>
          </w:p>
        </w:tc>
        <w:tc>
          <w:tcPr>
            <w:tcW w:type="dxa" w:w="6100"/>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CE only: weighted CE + SGDR + full augmentation (no Dice)</w:t>
            </w:r>
          </w:p>
        </w:tc>
        <w:tc>
          <w:tcPr>
            <w:tcW w:type="dxa" w:w="2072"/>
            <w:tcBorders>
              <w:top w:val="single" w:color="2C3E50" w:sz="4"/>
              <w:left w:val="single" w:color="2C3E50" w:sz="4"/>
              <w:bottom w:val="single" w:color="2C3E50" w:sz="4"/>
              <w:right w:val="single" w:color="2C3E50" w:sz="4"/>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74.8</w:t>
            </w:r>
          </w:p>
        </w:tc>
      </w:tr>
      <w:tr>
        <w:tc>
          <w:tcPr>
            <w:tcW w:type="dxa" w:w="9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A10</w:t>
            </w:r>
          </w:p>
        </w:tc>
        <w:tc>
          <w:tcPr>
            <w:tcW w:type="dxa" w:w="6100"/>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Dice only: Dice + SGDR + full augmentation (no WCE)</w:t>
            </w:r>
          </w:p>
        </w:tc>
        <w:tc>
          <w:tcPr>
            <w:tcW w:type="dxa" w:w="2072"/>
            <w:tcBorders>
              <w:top w:val="single" w:color="2C3E50" w:sz="4"/>
              <w:left w:val="single" w:color="2C3E50" w:sz="4"/>
              <w:bottom w:val="single" w:color="2C3E50" w:sz="4"/>
              <w:right w:val="single" w:color="2C3E50" w:sz="4"/>
            </w:tcBorders>
            <w:shd w:fill="EAF0FA"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71.2</w:t>
            </w:r>
          </w:p>
        </w:tc>
      </w:tr>
    </w:tbl>
    <w:p>
      <w:pPr>
        <w:spacing w:after="0" w:before="80"/>
      </w:pPr>
      <w:r>
        <w:t xml:space="preserve"/>
      </w:r>
    </w:p>
    <w:p>
      <w:pPr>
        <w:pBdr>
          <w:top w:val="single" w:color="AAAAAA" w:sz="4"/>
          <w:bottom w:val="single" w:color="AAAAAA" w:sz="4"/>
          <w:left w:val="single" w:color="AAAAAA" w:sz="4"/>
          <w:right w:val="single" w:color="AAAAAA" w:sz="4"/>
        </w:pBdr>
        <w:spacing w:after="60" w:before="120"/>
        <w:jc w:val="center"/>
      </w:pPr>
      <w:r>
        <w:rPr>
          <w:rFonts w:ascii="Times New Roman" w:cs="Times New Roman" w:eastAsia="Times New Roman" w:hAnsi="Times New Roman"/>
          <w:i/>
          <w:iCs/>
          <w:color w:val="555555"/>
          <w:sz w:val="22"/>
          <w:szCs w:val="22"/>
        </w:rPr>
        <w:t xml:space="preserve">[Bar Chart: Ablation Study Results — X-axis: Experiment ID (A1-A10); Y-axis: Validation mIoU (%). Full configuration A5 highlighted in green at 78.4%.]</w:t>
      </w:r>
    </w:p>
    <w:p>
      <w:pPr>
        <w:spacing w:after="160" w:before="80"/>
        <w:jc w:val="center"/>
      </w:pPr>
      <w:r>
        <w:rPr>
          <w:rFonts w:ascii="Times New Roman" w:cs="Times New Roman" w:eastAsia="Times New Roman" w:hAnsi="Times New Roman"/>
          <w:i/>
          <w:iCs/>
          <w:sz w:val="22"/>
          <w:szCs w:val="22"/>
        </w:rPr>
        <w:t xml:space="preserve">Figure 7: Ablation study results showing incremental mIoU improvement from baseline (A1) to full configuration (A5), and comparison of backbone scale and loss variants.</w:t>
      </w:r>
    </w:p>
    <w:p>
      <w:pPr>
        <w:spacing w:after="80" w:before="80" w:line="276"/>
        <w:ind/>
        <w:jc w:val="both"/>
      </w:pPr>
      <w:r>
        <w:rPr>
          <w:rFonts w:ascii="Times New Roman" w:cs="Times New Roman" w:eastAsia="Times New Roman" w:hAnsi="Times New Roman"/>
          <w:sz w:val="24"/>
          <w:szCs w:val="24"/>
        </w:rPr>
        <w:t xml:space="preserve">Key findings: (i) Class weighting yields the largest single-component gain from baseline (+3.4% mIoU). (ii) Dice Loss provides a further +2.7%. (iii) SGDR scheduling contributes +3.7%, the second largest gain. (iv) Full augmentation adds +3.3%. (v) The composite loss outperforms either component alone (78.4% &gt; 74.8% &gt; 71.2%). (vi) ImageNet pretraining (A5 vs. A8) provides a +15.3% mIoU gain, underscoring the critical importance of transfer learning. (vii) MiT-B4 yields only +1.2% over MiT-B2 at 2.3× the parameters, making MiT-B2 the preferred efficiency-accuracy trade-off for real-time deployment.</w:t>
      </w:r>
    </w:p>
    <w:p>
      <w:pPr>
        <w:pStyle w:val="Heading1"/>
        <w:spacing w:after="160" w:before="320"/>
      </w:pPr>
      <w:r>
        <w:rPr>
          <w:rFonts w:ascii="Times New Roman" w:cs="Times New Roman" w:eastAsia="Times New Roman" w:hAnsi="Times New Roman"/>
          <w:b/>
          <w:bCs/>
          <w:color w:val="1A3A5C"/>
          <w:sz w:val="28"/>
          <w:szCs w:val="28"/>
        </w:rPr>
        <w:t xml:space="preserve">8. Limitations</w:t>
      </w:r>
    </w:p>
    <w:p>
      <w:pPr>
        <w:spacing w:after="80" w:before="80" w:line="276"/>
        <w:ind/>
        <w:jc w:val="both"/>
      </w:pPr>
      <w:r>
        <w:rPr>
          <w:rFonts w:ascii="Times New Roman" w:cs="Times New Roman" w:eastAsia="Times New Roman" w:hAnsi="Times New Roman"/>
          <w:sz w:val="24"/>
          <w:szCs w:val="24"/>
        </w:rPr>
        <w:t xml:space="preserve">Despite strong performance, several limitations are acknowledged and must be considered before deployment. First, model boundary prediction quality correlates directly with annotation precision; the inter-annotator κ = 0.83 indicates high but imperfect agreement, and ambiguous boundary regions introduce label noise that the model cannot overcome.</w:t>
      </w:r>
    </w:p>
    <w:p>
      <w:pPr>
        <w:spacing w:after="80" w:before="80" w:line="276"/>
        <w:ind/>
        <w:jc w:val="both"/>
      </w:pPr>
      <w:r>
        <w:rPr>
          <w:rFonts w:ascii="Times New Roman" w:cs="Times New Roman" w:eastAsia="Times New Roman" w:hAnsi="Times New Roman"/>
          <w:sz w:val="24"/>
          <w:szCs w:val="24"/>
        </w:rPr>
        <w:t xml:space="preserve">Second, training requires a 10 GB VRAM GPU (NVIDIA RTX 3080), limiting accessibility for researchers with constrained computational resources. Model compression techniques (knowledge distillation, quantisation) could address this but are not yet evaluated for the full five-class task.</w:t>
      </w:r>
    </w:p>
    <w:p>
      <w:pPr>
        <w:spacing w:after="80" w:before="80" w:line="276"/>
        <w:ind/>
        <w:jc w:val="both"/>
      </w:pPr>
      <w:r>
        <w:rPr>
          <w:rFonts w:ascii="Times New Roman" w:cs="Times New Roman" w:eastAsia="Times New Roman" w:hAnsi="Times New Roman"/>
          <w:sz w:val="24"/>
          <w:szCs w:val="24"/>
        </w:rPr>
        <w:t xml:space="preserve">Third, processing 4K video in real time at 30 FPS requires hardware beyond a single RTX 3080; the current system targets 512×512 resolution, and processing full 4K frames requires tiling with associated boundary artefacts.</w:t>
      </w:r>
    </w:p>
    <w:p>
      <w:pPr>
        <w:spacing w:after="80" w:before="80" w:line="276"/>
        <w:ind/>
        <w:jc w:val="both"/>
      </w:pPr>
      <w:r>
        <w:rPr>
          <w:rFonts w:ascii="Times New Roman" w:cs="Times New Roman" w:eastAsia="Times New Roman" w:hAnsi="Times New Roman"/>
          <w:sz w:val="24"/>
          <w:szCs w:val="24"/>
        </w:rPr>
        <w:t xml:space="preserve">Fourth, the current system does not perform damage severity quantification (e.g., crack width in millimetres or pothole depth in centimetres), limiting its direct utility for automated repair cost estimation and prioritisation.</w:t>
      </w:r>
    </w:p>
    <w:p>
      <w:pPr>
        <w:spacing w:after="80" w:before="80" w:line="276"/>
        <w:ind/>
        <w:jc w:val="both"/>
      </w:pPr>
      <w:r>
        <w:rPr>
          <w:rFonts w:ascii="Times New Roman" w:cs="Times New Roman" w:eastAsia="Times New Roman" w:hAnsi="Times New Roman"/>
          <w:sz w:val="24"/>
          <w:szCs w:val="24"/>
        </w:rPr>
        <w:t xml:space="preserve">Fifth, performance on imagery from heavy snowfall, sand-covered roads, or night-time scenarios with artificial lighting has not been systematically evaluated. The training data does not include these edge cases, and segmentation quality under such conditions is unknown.</w:t>
      </w:r>
    </w:p>
    <w:p>
      <w:pPr>
        <w:spacing w:after="80" w:before="80" w:line="276"/>
        <w:ind/>
        <w:jc w:val="both"/>
      </w:pPr>
      <w:r>
        <w:rPr>
          <w:rFonts w:ascii="Times New Roman" w:cs="Times New Roman" w:eastAsia="Times New Roman" w:hAnsi="Times New Roman"/>
          <w:sz w:val="24"/>
          <w:szCs w:val="24"/>
        </w:rPr>
        <w:t xml:space="preserve">Sixth, the web application currently supports single-image and sequential video inference; batch inference for fleet-level road network monitoring is not yet implemented.</w:t>
      </w:r>
    </w:p>
    <w:p>
      <w:pPr>
        <w:pStyle w:val="Heading1"/>
        <w:spacing w:after="160" w:before="320"/>
      </w:pPr>
      <w:r>
        <w:rPr>
          <w:rFonts w:ascii="Times New Roman" w:cs="Times New Roman" w:eastAsia="Times New Roman" w:hAnsi="Times New Roman"/>
          <w:b/>
          <w:bCs/>
          <w:color w:val="1A3A5C"/>
          <w:sz w:val="28"/>
          <w:szCs w:val="28"/>
        </w:rPr>
        <w:t xml:space="preserve">9. Future Research Directions</w:t>
      </w:r>
    </w:p>
    <w:p>
      <w:pPr>
        <w:spacing w:after="80" w:before="80" w:line="276"/>
        <w:ind/>
        <w:jc w:val="both"/>
      </w:pPr>
      <w:r>
        <w:rPr>
          <w:rFonts w:ascii="Times New Roman" w:cs="Times New Roman" w:eastAsia="Times New Roman" w:hAnsi="Times New Roman"/>
          <w:sz w:val="24"/>
          <w:szCs w:val="24"/>
        </w:rPr>
        <w:t xml:space="preserve">Applying INT8 post-training quantisation via TensorRT and knowledge distillation from MiT-B4 to MiT-B0 will enable deployment on NVIDIA Jetson Nano and Raspberry Pi 4 for edge deployment in maintenance vehicles.</w:t>
      </w:r>
    </w:p>
    <w:p>
      <w:pPr>
        <w:spacing w:after="80" w:before="80" w:line="276"/>
        <w:ind/>
        <w:jc w:val="both"/>
      </w:pPr>
      <w:r>
        <w:rPr>
          <w:rFonts w:ascii="Times New Roman" w:cs="Times New Roman" w:eastAsia="Times New Roman" w:hAnsi="Times New Roman"/>
          <w:sz w:val="24"/>
          <w:szCs w:val="24"/>
        </w:rPr>
        <w:t xml:space="preserve">Jointly predicting segmentation maps and regression-based severity scores (crack width, pothole volume) within a shared encoder backbone would increase utility for automated maintenance scheduling and cost estimation.</w:t>
      </w:r>
    </w:p>
    <w:p>
      <w:pPr>
        <w:spacing w:after="80" w:before="80" w:line="276"/>
        <w:ind/>
        <w:jc w:val="both"/>
      </w:pPr>
      <w:r>
        <w:rPr>
          <w:rFonts w:ascii="Times New Roman" w:cs="Times New Roman" w:eastAsia="Times New Roman" w:hAnsi="Times New Roman"/>
          <w:sz w:val="24"/>
          <w:szCs w:val="24"/>
        </w:rPr>
        <w:t xml:space="preserve">Integration with UAV platforms for automated flight-path planning would enable large-scale network-level monitoring. Extending the pipeline with optical flow-guided temporal attention would improve video segmentation consistency and enable crack propagation velocity estimation.</w:t>
      </w:r>
    </w:p>
    <w:p>
      <w:pPr>
        <w:spacing w:after="80" w:before="80" w:line="276"/>
        <w:ind/>
        <w:jc w:val="both"/>
      </w:pPr>
      <w:r>
        <w:rPr>
          <w:rFonts w:ascii="Times New Roman" w:cs="Times New Roman" w:eastAsia="Times New Roman" w:hAnsi="Times New Roman"/>
          <w:sz w:val="24"/>
          <w:szCs w:val="24"/>
        </w:rPr>
        <w:t xml:space="preserve">Federated learning across multiple city road monitoring agencies would improve dataset diversity without centralising raw images, addressing privacy concerns in public infrastructure monitoring. Fusing camera imagery with LiDAR depth sensors would enable volumetric pothole reconstruction for precise repair material estimation.</w:t>
      </w:r>
    </w:p>
    <w:p>
      <w:pPr>
        <w:pStyle w:val="Heading1"/>
        <w:spacing w:after="160" w:before="320"/>
      </w:pPr>
      <w:r>
        <w:rPr>
          <w:rFonts w:ascii="Times New Roman" w:cs="Times New Roman" w:eastAsia="Times New Roman" w:hAnsi="Times New Roman"/>
          <w:b/>
          <w:bCs/>
          <w:color w:val="1A3A5C"/>
          <w:sz w:val="28"/>
          <w:szCs w:val="28"/>
        </w:rPr>
        <w:t xml:space="preserve">10. Conclusion</w:t>
      </w:r>
    </w:p>
    <w:p>
      <w:pPr>
        <w:spacing w:after="80" w:before="80" w:line="276"/>
        <w:ind/>
        <w:jc w:val="both"/>
      </w:pPr>
      <w:r>
        <w:rPr>
          <w:rFonts w:ascii="Times New Roman" w:cs="Times New Roman" w:eastAsia="Times New Roman" w:hAnsi="Times New Roman"/>
          <w:sz w:val="24"/>
          <w:szCs w:val="24"/>
        </w:rPr>
        <w:t xml:space="preserve">This paper presented a complete, deployment-ready framework for road surface damage detection and semantic segmentation using the SegFormer Transformer architecture. The system integrates a hierarchical MiT-B2 encoder—whose Efficient Self-Attention reduces attention complexity from O(N²) to O(N²/R²_i)—with an All-MLP decoder, a composite Weighted Cross-Entropy and Soft Dice Loss, SGDR cosine annealing, and comprehensive data augmentation. Evaluated on 4,200 annotated road images across five damage categories, the model achieves 74.4% mIoU, 91.2% pixel accuracy, and 85.1% mean F1-score on the held-out test set, outperforming FCN-8s, U-Net, PSPNet, DeepLabv3+, and Swin-UNet baselines with only 28.5M parameters.</w:t>
      </w:r>
    </w:p>
    <w:p>
      <w:pPr>
        <w:spacing w:after="80" w:before="80" w:line="276"/>
        <w:ind/>
        <w:jc w:val="both"/>
      </w:pPr>
      <w:r>
        <w:rPr>
          <w:rFonts w:ascii="Times New Roman" w:cs="Times New Roman" w:eastAsia="Times New Roman" w:hAnsi="Times New Roman"/>
          <w:sz w:val="24"/>
          <w:szCs w:val="24"/>
        </w:rPr>
        <w:t xml:space="preserve">Deployed as a Flask web application at 26.3 FPS, the system provides authenticated multi-modal inference with colour-coded damage overlay visualisation. Systematic ablation studies confirm the measurable contribution of each design component, with ImageNet pretraining (+15.3% mIoU), SGDR scheduling (+3.7%), and class-weighted composite loss (+6.1% combined) identified as the most impactful factors. The dataset, model weights, and source code are publicly available to facilitate reproducibility and further research.</w:t>
      </w:r>
    </w:p>
    <w:p>
      <w:pPr>
        <w:spacing w:after="80" w:before="80" w:line="276"/>
        <w:ind/>
        <w:jc w:val="both"/>
      </w:pPr>
      <w:r>
        <w:rPr>
          <w:rFonts w:ascii="Times New Roman" w:cs="Times New Roman" w:eastAsia="Times New Roman" w:hAnsi="Times New Roman"/>
          <w:sz w:val="24"/>
          <w:szCs w:val="24"/>
        </w:rPr>
        <w:t xml:space="preserve">This work bridges the gap between research-grade transformer segmentation models and production-ready pavement inspection applications, providing a scalable, open-source tool for road maintenance authorities.</w:t>
      </w:r>
    </w:p>
    <w:p>
      <w:pPr>
        <w:pStyle w:val="Heading1"/>
        <w:spacing w:after="160" w:before="320"/>
      </w:pPr>
      <w:r>
        <w:rPr>
          <w:rFonts w:ascii="Times New Roman" w:cs="Times New Roman" w:eastAsia="Times New Roman" w:hAnsi="Times New Roman"/>
          <w:b/>
          <w:bCs/>
          <w:color w:val="1A3A5C"/>
          <w:sz w:val="28"/>
          <w:szCs w:val="28"/>
        </w:rPr>
        <w:t xml:space="preserve">Declarations</w:t>
      </w:r>
    </w:p>
    <w:p>
      <w:pPr>
        <w:pStyle w:val="Heading2"/>
        <w:spacing w:after="120" w:before="240"/>
      </w:pPr>
      <w:r>
        <w:rPr>
          <w:rFonts w:ascii="Times New Roman" w:cs="Times New Roman" w:eastAsia="Times New Roman" w:hAnsi="Times New Roman"/>
          <w:b/>
          <w:bCs/>
          <w:color w:val="1A3A5C"/>
          <w:sz w:val="24"/>
          <w:szCs w:val="24"/>
        </w:rPr>
        <w:t xml:space="preserve">Conflict of Interest</w:t>
      </w:r>
    </w:p>
    <w:p>
      <w:pPr>
        <w:spacing w:after="80" w:before="80" w:line="276"/>
        <w:ind/>
        <w:jc w:val="both"/>
      </w:pPr>
      <w:r>
        <w:rPr>
          <w:rFonts w:ascii="Times New Roman" w:cs="Times New Roman" w:eastAsia="Times New Roman" w:hAnsi="Times New Roman"/>
          <w:sz w:val="24"/>
          <w:szCs w:val="24"/>
        </w:rPr>
        <w:t xml:space="preserve">The authors declare that they have no competing financial or non-financial interests related to this work. No external funding was received for conducting this study.</w:t>
      </w:r>
    </w:p>
    <w:p>
      <w:pPr>
        <w:pStyle w:val="Heading2"/>
        <w:spacing w:after="120" w:before="240"/>
      </w:pPr>
      <w:r>
        <w:rPr>
          <w:rFonts w:ascii="Times New Roman" w:cs="Times New Roman" w:eastAsia="Times New Roman" w:hAnsi="Times New Roman"/>
          <w:b/>
          <w:bCs/>
          <w:color w:val="1A3A5C"/>
          <w:sz w:val="24"/>
          <w:szCs w:val="24"/>
        </w:rPr>
        <w:t xml:space="preserve">Data Availability</w:t>
      </w:r>
    </w:p>
    <w:p>
      <w:pPr>
        <w:spacing w:after="80" w:before="80" w:line="276"/>
        <w:ind/>
        <w:jc w:val="both"/>
      </w:pPr>
      <w:r>
        <w:rPr>
          <w:rFonts w:ascii="Times New Roman" w:cs="Times New Roman" w:eastAsia="Times New Roman" w:hAnsi="Times New Roman"/>
          <w:sz w:val="24"/>
          <w:szCs w:val="24"/>
        </w:rPr>
        <w:t xml:space="preserve">The dataset, annotation masks, pretrained model weights, and source code used in this study are publicly available at: </w:t>
      </w:r>
      <w:r>
        <w:rPr>
          <w:rFonts w:ascii="Times New Roman" w:cs="Times New Roman" w:eastAsia="Times New Roman" w:hAnsi="Times New Roman"/>
          <w:color w:val="1155CC"/>
          <w:sz w:val="24"/>
          <w:szCs w:val="24"/>
          <w:u w:val="single"/>
        </w:rPr>
        <w:t xml:space="preserve">https://github.com/rohini-badhe/road-damage-segformer</w:t>
      </w:r>
      <w:r>
        <w:rPr>
          <w:rFonts w:ascii="Times New Roman" w:cs="Times New Roman" w:eastAsia="Times New Roman" w:hAnsi="Times New Roman"/>
          <w:sz w:val="24"/>
          <w:szCs w:val="24"/>
        </w:rPr>
        <w:t xml:space="preserve">. The dataset comprises 4,200 road surface images with pixel-level annotations across five damage categories.</w:t>
      </w:r>
    </w:p>
    <w:p>
      <w:pPr>
        <w:pStyle w:val="Heading2"/>
        <w:spacing w:after="120" w:before="240"/>
      </w:pPr>
      <w:r>
        <w:rPr>
          <w:rFonts w:ascii="Times New Roman" w:cs="Times New Roman" w:eastAsia="Times New Roman" w:hAnsi="Times New Roman"/>
          <w:b/>
          <w:bCs/>
          <w:color w:val="1A3A5C"/>
          <w:sz w:val="24"/>
          <w:szCs w:val="24"/>
        </w:rPr>
        <w:t xml:space="preserve">Acknowledgements</w:t>
      </w:r>
    </w:p>
    <w:p>
      <w:pPr>
        <w:spacing w:after="80" w:before="80" w:line="276"/>
        <w:ind/>
        <w:jc w:val="both"/>
      </w:pPr>
      <w:r>
        <w:rPr>
          <w:rFonts w:ascii="Times New Roman" w:cs="Times New Roman" w:eastAsia="Times New Roman" w:hAnsi="Times New Roman"/>
          <w:sz w:val="24"/>
          <w:szCs w:val="24"/>
        </w:rPr>
        <w:t xml:space="preserve">The authors thank the annotators for their meticulous labelling work and COEP Technological University for providing the computational resources used in this study.</w:t>
      </w:r>
    </w:p>
    <w:p>
      <w:pPr>
        <w:pStyle w:val="Heading1"/>
        <w:spacing w:after="160" w:before="320"/>
      </w:pPr>
      <w:r>
        <w:rPr>
          <w:rFonts w:ascii="Times New Roman" w:cs="Times New Roman" w:eastAsia="Times New Roman" w:hAnsi="Times New Roman"/>
          <w:b/>
          <w:bCs/>
          <w:color w:val="1A3A5C"/>
          <w:sz w:val="28"/>
          <w:szCs w:val="28"/>
        </w:rPr>
        <w:t xml:space="preserve">References</w:t>
      </w:r>
    </w:p>
    <w:p>
      <w:pPr>
        <w:spacing w:after="40" w:before="40" w:line="240"/>
        <w:ind w:left="720" w:hanging="720"/>
        <w:jc w:val="both"/>
      </w:pPr>
      <w:r>
        <w:rPr>
          <w:rFonts w:ascii="Times New Roman" w:cs="Times New Roman" w:eastAsia="Times New Roman" w:hAnsi="Times New Roman"/>
          <w:sz w:val="21"/>
          <w:szCs w:val="21"/>
        </w:rPr>
        <w:t xml:space="preserve">[1] Liu, Y., Yao, J., Lu, X., Xie, R., and Li, L. (2019). DeepCrack: A deep hierarchical feature learning architecture for crack segmentation. Neurocomputing, 338, 139–153. https://doi.org/10.1016/j.neucom.2019.01.036</w:t>
      </w:r>
    </w:p>
    <w:p>
      <w:pPr>
        <w:spacing w:after="40" w:before="40" w:line="240"/>
        <w:ind w:left="720" w:hanging="720"/>
        <w:jc w:val="both"/>
      </w:pPr>
      <w:r>
        <w:rPr>
          <w:rFonts w:ascii="Times New Roman" w:cs="Times New Roman" w:eastAsia="Times New Roman" w:hAnsi="Times New Roman"/>
          <w:sz w:val="21"/>
          <w:szCs w:val="21"/>
        </w:rPr>
        <w:t xml:space="preserve">[2] Haas, R., Hudson, W. R., and Falls, L. (2015). Pavement Asset Management. Wiley-ASCE Press.</w:t>
      </w:r>
    </w:p>
    <w:p>
      <w:pPr>
        <w:spacing w:after="40" w:before="40" w:line="240"/>
        <w:ind w:left="720" w:hanging="720"/>
        <w:jc w:val="both"/>
      </w:pPr>
      <w:r>
        <w:rPr>
          <w:rFonts w:ascii="Times New Roman" w:cs="Times New Roman" w:eastAsia="Times New Roman" w:hAnsi="Times New Roman"/>
          <w:sz w:val="21"/>
          <w:szCs w:val="21"/>
        </w:rPr>
        <w:t xml:space="preserve">[3] Deighton, J., Leahy, R., and Bhagat, P. (2020). Cost modelling for pavement deterioration and maintenance intervention. Transportation Research Record, 2674(9), 496–507. https://doi.org/10.1177/0361198120924400</w:t>
      </w:r>
    </w:p>
    <w:p>
      <w:pPr>
        <w:spacing w:after="40" w:before="40" w:line="240"/>
        <w:ind w:left="720" w:hanging="720"/>
        <w:jc w:val="both"/>
      </w:pPr>
      <w:r>
        <w:rPr>
          <w:rFonts w:ascii="Times New Roman" w:cs="Times New Roman" w:eastAsia="Times New Roman" w:hAnsi="Times New Roman"/>
          <w:sz w:val="21"/>
          <w:szCs w:val="21"/>
        </w:rPr>
        <w:t xml:space="preserve">[4] World Health Organization. (2023). Global Status Report on Road Safety 2023. WHO Press. https://www.who.int/publications/i/item/9789240086555</w:t>
      </w:r>
    </w:p>
    <w:p>
      <w:pPr>
        <w:spacing w:after="40" w:before="40" w:line="240"/>
        <w:ind w:left="720" w:hanging="720"/>
        <w:jc w:val="both"/>
      </w:pPr>
      <w:r>
        <w:rPr>
          <w:rFonts w:ascii="Times New Roman" w:cs="Times New Roman" w:eastAsia="Times New Roman" w:hAnsi="Times New Roman"/>
          <w:sz w:val="21"/>
          <w:szCs w:val="21"/>
        </w:rPr>
        <w:t xml:space="preserve">[5] Shahin, M. Y., and Walther, J. A. (1990). Pavement maintenance management for roads and streets using the PAVER system (Technical Report M-90). US Army Corps of Engineers.</w:t>
      </w:r>
    </w:p>
    <w:p>
      <w:pPr>
        <w:spacing w:after="40" w:before="40" w:line="240"/>
        <w:ind w:left="720" w:hanging="720"/>
        <w:jc w:val="both"/>
      </w:pPr>
      <w:r>
        <w:rPr>
          <w:rFonts w:ascii="Times New Roman" w:cs="Times New Roman" w:eastAsia="Times New Roman" w:hAnsi="Times New Roman"/>
          <w:sz w:val="21"/>
          <w:szCs w:val="21"/>
        </w:rPr>
        <w:t xml:space="preserve">[6] Guo, Y., Liu, Y., Georgiou, T., and Lew, M. S. (2018). A review of semantic segmentation using deep neural networks. International Journal of Multimedia Information Retrieval, 7(2), 87–93. https://doi.org/10.1007/s13735-017-0141-z</w:t>
      </w:r>
    </w:p>
    <w:p>
      <w:pPr>
        <w:spacing w:after="40" w:before="40" w:line="240"/>
        <w:ind w:left="720" w:hanging="720"/>
        <w:jc w:val="both"/>
      </w:pPr>
      <w:r>
        <w:rPr>
          <w:rFonts w:ascii="Times New Roman" w:cs="Times New Roman" w:eastAsia="Times New Roman" w:hAnsi="Times New Roman"/>
          <w:sz w:val="21"/>
          <w:szCs w:val="21"/>
        </w:rPr>
        <w:t xml:space="preserve">[7] Long, J., Shelhamer, E., and Darrell, T. (2015). Fully convolutional networks for semantic segmentation. In Proceedings of the IEEE/CVF Conference on Computer Vision and Pattern Recognition (CVPR), pp. 3431–3440. https://doi.org/10.1109/CVPR.2015.7298965</w:t>
      </w:r>
    </w:p>
    <w:p>
      <w:pPr>
        <w:spacing w:after="40" w:before="40" w:line="240"/>
        <w:ind w:left="720" w:hanging="720"/>
        <w:jc w:val="both"/>
      </w:pPr>
      <w:r>
        <w:rPr>
          <w:rFonts w:ascii="Times New Roman" w:cs="Times New Roman" w:eastAsia="Times New Roman" w:hAnsi="Times New Roman"/>
          <w:sz w:val="21"/>
          <w:szCs w:val="21"/>
        </w:rPr>
        <w:t xml:space="preserve">[8] Ronneberger, O., Fischer, P., and Brox, T. (2015). U-Net: Convolutional networks for biomedical image segmentation. In Proceedings of the International Conference on Medical Image Computing and Computer-Assisted Intervention (MICCAI), Lecture Notes in Computer Science, vol. 9351, pp. 234–241. Springer. https://doi.org/10.1007/978-3-319-24574-4_28</w:t>
      </w:r>
    </w:p>
    <w:p>
      <w:pPr>
        <w:spacing w:after="40" w:before="40" w:line="240"/>
        <w:ind w:left="720" w:hanging="720"/>
        <w:jc w:val="both"/>
      </w:pPr>
      <w:r>
        <w:rPr>
          <w:rFonts w:ascii="Times New Roman" w:cs="Times New Roman" w:eastAsia="Times New Roman" w:hAnsi="Times New Roman"/>
          <w:sz w:val="21"/>
          <w:szCs w:val="21"/>
        </w:rPr>
        <w:t xml:space="preserve">[9] Badrinarayanan, V., Kendall, A., and Cipolla, R. (2017). SegNet: A deep convolutional encoder-decoder architecture for image segmentation. IEEE Transactions on Pattern Analysis and Machine Intelligence, 39(12), 2481–2495. https://doi.org/10.1109/TPAMI.2016.2644615</w:t>
      </w:r>
    </w:p>
    <w:p>
      <w:pPr>
        <w:spacing w:after="40" w:before="40" w:line="240"/>
        <w:ind w:left="720" w:hanging="720"/>
        <w:jc w:val="both"/>
      </w:pPr>
      <w:r>
        <w:rPr>
          <w:rFonts w:ascii="Times New Roman" w:cs="Times New Roman" w:eastAsia="Times New Roman" w:hAnsi="Times New Roman"/>
          <w:sz w:val="21"/>
          <w:szCs w:val="21"/>
        </w:rPr>
        <w:t xml:space="preserve">[10] Chen, L.-C., Zhu, Y., Papandreou, G., Schroff, F., and Adam, H. (2018). Encoder-decoder with atrous separable convolution for semantic image segmentation. In Proceedings of the European Conference on Computer Vision (ECCV), pp. 801–818. https://doi.org/10.1007/978-3-030-01234-2_49</w:t>
      </w:r>
    </w:p>
    <w:p>
      <w:pPr>
        <w:spacing w:after="40" w:before="40" w:line="240"/>
        <w:ind w:left="720" w:hanging="720"/>
        <w:jc w:val="both"/>
      </w:pPr>
      <w:r>
        <w:rPr>
          <w:rFonts w:ascii="Times New Roman" w:cs="Times New Roman" w:eastAsia="Times New Roman" w:hAnsi="Times New Roman"/>
          <w:sz w:val="21"/>
          <w:szCs w:val="21"/>
        </w:rPr>
        <w:t xml:space="preserve">[11] Dosovitskiy, A., Beyer, L., Kolesnikov, A., et al. (2021). An image is worth 16x16 words: Transformers for image recognition at scale. In International Conference on Learning Representations (ICLR). https://openreview.net/forum?id=YicbFdNTTy</w:t>
      </w:r>
    </w:p>
    <w:p>
      <w:pPr>
        <w:spacing w:after="40" w:before="40" w:line="240"/>
        <w:ind w:left="720" w:hanging="720"/>
        <w:jc w:val="both"/>
      </w:pPr>
      <w:r>
        <w:rPr>
          <w:rFonts w:ascii="Times New Roman" w:cs="Times New Roman" w:eastAsia="Times New Roman" w:hAnsi="Times New Roman"/>
          <w:sz w:val="21"/>
          <w:szCs w:val="21"/>
        </w:rPr>
        <w:t xml:space="preserve">[12] Liu, Z., Lin, Y., Cao, Y., et al. (2021). Swin Transformer: Hierarchical vision transformer using shifted windows. In Proceedings of the IEEE/CVF International Conference on Computer Vision (ICCV), pp. 10012–10022. https://doi.org/10.1109/ICCV48922.2021.00986</w:t>
      </w:r>
    </w:p>
    <w:p>
      <w:pPr>
        <w:spacing w:after="40" w:before="40" w:line="240"/>
        <w:ind w:left="720" w:hanging="720"/>
        <w:jc w:val="both"/>
      </w:pPr>
      <w:r>
        <w:rPr>
          <w:rFonts w:ascii="Times New Roman" w:cs="Times New Roman" w:eastAsia="Times New Roman" w:hAnsi="Times New Roman"/>
          <w:sz w:val="21"/>
          <w:szCs w:val="21"/>
        </w:rPr>
        <w:t xml:space="preserve">[13] Xie, E., Wang, W., Yu, Z., Anandkumar, A., Alvarez, J. M., and Luo, P. (2021). SegFormer: Simple and efficient design for semantic segmentation with transformers. In Advances in Neural Information Processing Systems (NeurIPS), vol. 34, pp. 12077–12090.</w:t>
      </w:r>
    </w:p>
    <w:p>
      <w:pPr>
        <w:spacing w:after="40" w:before="40" w:line="240"/>
        <w:ind w:left="720" w:hanging="720"/>
        <w:jc w:val="both"/>
      </w:pPr>
      <w:r>
        <w:rPr>
          <w:rFonts w:ascii="Times New Roman" w:cs="Times New Roman" w:eastAsia="Times New Roman" w:hAnsi="Times New Roman"/>
          <w:sz w:val="21"/>
          <w:szCs w:val="21"/>
        </w:rPr>
        <w:t xml:space="preserve">[14] Huang, Y., and Xu, B. (2006). Automatic inspection of pavement cracking distress based on beamlet transform. Journal of Zhejiang University Science A, 7(8), 1380–1387. https://doi.org/10.1631/jzus.2006.A1380</w:t>
      </w:r>
    </w:p>
    <w:p>
      <w:pPr>
        <w:spacing w:after="40" w:before="40" w:line="240"/>
        <w:ind w:left="720" w:hanging="720"/>
        <w:jc w:val="both"/>
      </w:pPr>
      <w:r>
        <w:rPr>
          <w:rFonts w:ascii="Times New Roman" w:cs="Times New Roman" w:eastAsia="Times New Roman" w:hAnsi="Times New Roman"/>
          <w:sz w:val="21"/>
          <w:szCs w:val="21"/>
        </w:rPr>
        <w:t xml:space="preserve">[15] Koch, C., Georgieva, K., Kasireddy, V., Akinci, B., and Fieguth, P. (2015). A review on computer vision based defect detection and condition assessment of concrete and asphalt civil infrastructure. Advanced Engineering Informatics, 29(2), 196–210. https://doi.org/10.1016/j.aei.2014.10.007</w:t>
      </w:r>
    </w:p>
    <w:p>
      <w:pPr>
        <w:spacing w:after="40" w:before="40" w:line="240"/>
        <w:ind w:left="720" w:hanging="720"/>
        <w:jc w:val="both"/>
      </w:pPr>
      <w:r>
        <w:rPr>
          <w:rFonts w:ascii="Times New Roman" w:cs="Times New Roman" w:eastAsia="Times New Roman" w:hAnsi="Times New Roman"/>
          <w:sz w:val="21"/>
          <w:szCs w:val="21"/>
        </w:rPr>
        <w:t xml:space="preserve">[16] Shi, Y., Cui, L., Qi, Z., Meng, F., and Chen, Z. (2016). Automatic road crack detection using random structured forests. IEEE Transactions on Intelligent Transportation Systems, 17(12), 3434–3445. https://doi.org/10.1109/TITS.2016.2552248</w:t>
      </w:r>
    </w:p>
    <w:p>
      <w:pPr>
        <w:spacing w:after="40" w:before="40" w:line="240"/>
        <w:ind w:left="720" w:hanging="720"/>
        <w:jc w:val="both"/>
      </w:pPr>
      <w:r>
        <w:rPr>
          <w:rFonts w:ascii="Times New Roman" w:cs="Times New Roman" w:eastAsia="Times New Roman" w:hAnsi="Times New Roman"/>
          <w:sz w:val="21"/>
          <w:szCs w:val="21"/>
        </w:rPr>
        <w:t xml:space="preserve">[17] Zhang, L., Yang, F., Zhang, Y. D., and Zhu, Y. J. (2016). Road crack detection using deep convolutional neural network. In Proceedings of the IEEE International Conference on Image Processing (ICIP), pp. 3708–3712. https://doi.org/10.1109/ICIP.2016.7533052</w:t>
      </w:r>
    </w:p>
    <w:p>
      <w:pPr>
        <w:spacing w:after="40" w:before="40" w:line="240"/>
        <w:ind w:left="720" w:hanging="720"/>
        <w:jc w:val="both"/>
      </w:pPr>
      <w:r>
        <w:rPr>
          <w:rFonts w:ascii="Times New Roman" w:cs="Times New Roman" w:eastAsia="Times New Roman" w:hAnsi="Times New Roman"/>
          <w:sz w:val="21"/>
          <w:szCs w:val="21"/>
        </w:rPr>
        <w:t xml:space="preserve">[18] Zou, Q., Zhang, Z., Li, Q., Qi, X., Wang, Q., and Wang, S. (2019). DeepCrack: Learning hierarchical convolutional features for crack detection. IEEE Transactions on Image Processing, 28(3), 1498–1512. https://doi.org/10.1109/TIP.2018.2878966</w:t>
      </w:r>
    </w:p>
    <w:p>
      <w:pPr>
        <w:spacing w:after="40" w:before="40" w:line="240"/>
        <w:ind w:left="720" w:hanging="720"/>
        <w:jc w:val="both"/>
      </w:pPr>
      <w:r>
        <w:rPr>
          <w:rFonts w:ascii="Times New Roman" w:cs="Times New Roman" w:eastAsia="Times New Roman" w:hAnsi="Times New Roman"/>
          <w:sz w:val="21"/>
          <w:szCs w:val="21"/>
        </w:rPr>
        <w:t xml:space="preserve">[19] Zhao, H., Shi, J., Qi, X., Wang, X., and Jia, J. (2017). Pyramid scene parsing network. In Proceedings of the IEEE/CVF Conference on Computer Vision and Pattern Recognition (CVPR), pp. 2881–2890. https://doi.org/10.1109/CVPR.2017.660</w:t>
      </w:r>
    </w:p>
    <w:p>
      <w:pPr>
        <w:spacing w:after="40" w:before="40" w:line="240"/>
        <w:ind w:left="720" w:hanging="720"/>
        <w:jc w:val="both"/>
      </w:pPr>
      <w:r>
        <w:rPr>
          <w:rFonts w:ascii="Times New Roman" w:cs="Times New Roman" w:eastAsia="Times New Roman" w:hAnsi="Times New Roman"/>
          <w:sz w:val="21"/>
          <w:szCs w:val="21"/>
        </w:rPr>
        <w:t xml:space="preserve">[20] Yang, F., Zhang, L., Yu, S., et al. (2020). Feature pyramid and hierarchical boosting network for pavement crack detection. IEEE Transactions on Intelligent Transportation Systems, 21(4), 1525–1535. https://doi.org/10.1109/TITS.2019.2910595</w:t>
      </w:r>
    </w:p>
    <w:p>
      <w:pPr>
        <w:spacing w:after="40" w:before="40" w:line="240"/>
        <w:ind w:left="720" w:hanging="720"/>
        <w:jc w:val="both"/>
      </w:pPr>
      <w:r>
        <w:rPr>
          <w:rFonts w:ascii="Times New Roman" w:cs="Times New Roman" w:eastAsia="Times New Roman" w:hAnsi="Times New Roman"/>
          <w:sz w:val="21"/>
          <w:szCs w:val="21"/>
        </w:rPr>
        <w:t xml:space="preserve">[21] Fan, M., Lai, S., Huang, J., et al. (2021). Rethinking BiSeNet for real-time semantic segmentation. In Proceedings of the IEEE/CVF Conference on Computer Vision and Pattern Recognition (CVPR), pp. 9716–9725. https://doi.org/10.1109/CVPR46437.2021.00959</w:t>
      </w:r>
    </w:p>
    <w:p>
      <w:pPr>
        <w:spacing w:after="40" w:before="40" w:line="240"/>
        <w:ind w:left="720" w:hanging="720"/>
        <w:jc w:val="both"/>
      </w:pPr>
      <w:r>
        <w:rPr>
          <w:rFonts w:ascii="Times New Roman" w:cs="Times New Roman" w:eastAsia="Times New Roman" w:hAnsi="Times New Roman"/>
          <w:sz w:val="21"/>
          <w:szCs w:val="21"/>
        </w:rPr>
        <w:t xml:space="preserve">[22] Nguyen, T., Nguyen, T., and Tran, D. (2023). Lightweight road damage detection using MobileNet-based encoder-decoder with multi-scale feature fusion. Engineering Applications of Artificial Intelligence, 118, 105641. https://doi.org/10.1016/j.engappai.2022.105641</w:t>
      </w:r>
    </w:p>
    <w:p>
      <w:pPr>
        <w:spacing w:after="40" w:before="40" w:line="240"/>
        <w:ind w:left="720" w:hanging="720"/>
        <w:jc w:val="both"/>
      </w:pPr>
      <w:r>
        <w:rPr>
          <w:rFonts w:ascii="Times New Roman" w:cs="Times New Roman" w:eastAsia="Times New Roman" w:hAnsi="Times New Roman"/>
          <w:sz w:val="21"/>
          <w:szCs w:val="21"/>
        </w:rPr>
        <w:t xml:space="preserve">[23] Zheng, S., Lu, J., Zhao, H., et al. (2021). Rethinking semantic segmentation from a sequence-to-sequence perspective with transformers. In Proceedings of the IEEE/CVF Conference on Computer Vision and Pattern Recognition (CVPR), pp. 6881–6890. https://doi.org/10.1109/CVPR46437.2021.00681</w:t>
      </w:r>
    </w:p>
    <w:p>
      <w:pPr>
        <w:spacing w:after="40" w:before="40" w:line="240"/>
        <w:ind w:left="720" w:hanging="720"/>
        <w:jc w:val="both"/>
      </w:pPr>
      <w:r>
        <w:rPr>
          <w:rFonts w:ascii="Times New Roman" w:cs="Times New Roman" w:eastAsia="Times New Roman" w:hAnsi="Times New Roman"/>
          <w:sz w:val="21"/>
          <w:szCs w:val="21"/>
        </w:rPr>
        <w:t xml:space="preserve">[24] Ranftl, R., Bochkovskiy, A., and Koltun, V. (2021). Vision transformers for dense prediction. In Proceedings of the IEEE/CVF International Conference on Computer Vision (ICCV), pp. 12179–12188. https://doi.org/10.1109/ICCV48922.2021.01196</w:t>
      </w:r>
    </w:p>
    <w:p>
      <w:pPr>
        <w:spacing w:after="40" w:before="40" w:line="240"/>
        <w:ind w:left="720" w:hanging="720"/>
        <w:jc w:val="both"/>
      </w:pPr>
      <w:r>
        <w:rPr>
          <w:rFonts w:ascii="Times New Roman" w:cs="Times New Roman" w:eastAsia="Times New Roman" w:hAnsi="Times New Roman"/>
          <w:sz w:val="21"/>
          <w:szCs w:val="21"/>
        </w:rPr>
        <w:t xml:space="preserve">[25] Loshchilov, I., and Hutter, F. (2017). SGDR: Stochastic gradient descent with warm restarts. In International Conference on Learning Representations (ICLR). https://openreview.net/forum?id=Skq89Scxx</w:t>
      </w:r>
    </w:p>
    <w:p>
      <w:pPr>
        <w:spacing w:after="40" w:before="40" w:line="240"/>
        <w:ind w:left="720" w:hanging="720"/>
        <w:jc w:val="both"/>
      </w:pPr>
      <w:r>
        <w:rPr>
          <w:rFonts w:ascii="Times New Roman" w:cs="Times New Roman" w:eastAsia="Times New Roman" w:hAnsi="Times New Roman"/>
          <w:sz w:val="21"/>
          <w:szCs w:val="21"/>
        </w:rPr>
        <w:t xml:space="preserve">[26] Buslaev, A., Iglovikov, V. I., Khvedchenya, E., Parinov, A., Druzhinin, M., and Kalinin, A. A. (2020). Albumentations: Fast and flexible image augmentations. Information, 11(2), 125. https://doi.org/10.3390/info11020125</w:t>
      </w:r>
    </w:p>
    <w:p>
      <w:pPr>
        <w:spacing w:after="40" w:before="40" w:line="240"/>
        <w:ind w:left="720" w:hanging="720"/>
        <w:jc w:val="both"/>
      </w:pPr>
      <w:r>
        <w:rPr>
          <w:rFonts w:ascii="Times New Roman" w:cs="Times New Roman" w:eastAsia="Times New Roman" w:hAnsi="Times New Roman"/>
          <w:sz w:val="21"/>
          <w:szCs w:val="21"/>
        </w:rPr>
        <w:t xml:space="preserve">[27] Zhang, M., Liu, X., and Dong, Y. (2022). Road extraction based on SegFormer from remote sensing imagery. Remote Sensing, 14(18), 4425. https://doi.org/10.3390/rs14184425</w:t>
      </w:r>
    </w:p>
    <w:p>
      <w:pPr>
        <w:spacing w:after="40" w:before="40" w:line="240"/>
        <w:ind w:left="720" w:hanging="720"/>
        <w:jc w:val="both"/>
      </w:pPr>
      <w:r>
        <w:rPr>
          <w:rFonts w:ascii="Times New Roman" w:cs="Times New Roman" w:eastAsia="Times New Roman" w:hAnsi="Times New Roman"/>
          <w:sz w:val="21"/>
          <w:szCs w:val="21"/>
        </w:rPr>
        <w:t xml:space="preserve">[28] Bai, Y., Zhao, Y., and Zhao, X. (2023). Crack detection using combined CNN and transformer networks. Applied Sciences, 13(9), 5530. https://doi.org/10.3390/app13095530</w:t>
      </w:r>
    </w:p>
    <w:p>
      <w:pPr>
        <w:spacing w:after="40" w:before="40" w:line="240"/>
        <w:ind w:left="720" w:hanging="720"/>
        <w:jc w:val="both"/>
      </w:pPr>
      <w:r>
        <w:rPr>
          <w:rFonts w:ascii="Times New Roman" w:cs="Times New Roman" w:eastAsia="Times New Roman" w:hAnsi="Times New Roman"/>
          <w:sz w:val="21"/>
          <w:szCs w:val="21"/>
        </w:rPr>
        <w:t xml:space="preserve">[29] Wang, X., Li, Z., and Chen, H. (2023). TransRoad: Deformable attention transformer for multi-class road damage segmentation. IEEE Transactions on Intelligent Transportation Systems, 24(8), 8342–8355. https://doi.org/10.1109/TITS.2023.3267901</w:t>
      </w:r>
    </w:p>
    <w:p>
      <w:pPr>
        <w:spacing w:after="40" w:before="40" w:line="240"/>
        <w:ind w:left="720" w:hanging="720"/>
        <w:jc w:val="both"/>
      </w:pPr>
      <w:r>
        <w:rPr>
          <w:rFonts w:ascii="Times New Roman" w:cs="Times New Roman" w:eastAsia="Times New Roman" w:hAnsi="Times New Roman"/>
          <w:sz w:val="21"/>
          <w:szCs w:val="21"/>
        </w:rPr>
        <w:t xml:space="preserve">[30] Maeda, H., Sekimoto, Y., Seto, T., Kashiyama, T., and Omata, H. (2018). Road damage detection and classification using deep neural networks with smartphone images. Computer-Aided Civil and Infrastructure Engineering, 33(12), 1127–1141. https://doi.org/10.1111/mice.12387</w:t>
      </w:r>
    </w:p>
    <w:p>
      <w:pPr>
        <w:spacing w:after="40" w:before="40" w:line="240"/>
        <w:ind w:left="720" w:hanging="720"/>
        <w:jc w:val="both"/>
      </w:pPr>
      <w:r>
        <w:rPr>
          <w:rFonts w:ascii="Times New Roman" w:cs="Times New Roman" w:eastAsia="Times New Roman" w:hAnsi="Times New Roman"/>
          <w:sz w:val="21"/>
          <w:szCs w:val="21"/>
        </w:rPr>
        <w:t xml:space="preserve">[31] Arya, D., Maeda, H., Ghosh, S. K., Toshniwal, D., Mraz, A., Kashiyama, T., and Sekimoto, Y. (2020). Transfer learning-based road damage detection for multiple countries. In Proceedings of the IEEE International Conference on Big Data, pp. 5462–5469. https://doi.org/10.1109/BigData50022.2020.9378027</w:t>
      </w:r>
    </w:p>
    <w:p>
      <w:pPr>
        <w:spacing w:after="40" w:before="40" w:line="240"/>
        <w:ind w:left="720" w:hanging="720"/>
        <w:jc w:val="both"/>
      </w:pPr>
      <w:r>
        <w:rPr>
          <w:rFonts w:ascii="Times New Roman" w:cs="Times New Roman" w:eastAsia="Times New Roman" w:hAnsi="Times New Roman"/>
          <w:sz w:val="21"/>
          <w:szCs w:val="21"/>
        </w:rPr>
        <w:t xml:space="preserve">[32] Eisenbach, M., Stricker, R., Seichter, D., et al. (2017). How to get pavement distress detection ready for deep learning? A systematic approach. In Proceedings of the International Joint Conference on Neural Networks (IJCNN), pp. 2039–2047. https://doi.org/10.1109/IJCNN.2017.7966101</w:t>
      </w:r>
    </w:p>
    <w:p>
      <w:pPr>
        <w:spacing w:after="40" w:before="40" w:line="240"/>
        <w:ind w:left="720" w:hanging="720"/>
        <w:jc w:val="both"/>
      </w:pPr>
      <w:r>
        <w:rPr>
          <w:rFonts w:ascii="Times New Roman" w:cs="Times New Roman" w:eastAsia="Times New Roman" w:hAnsi="Times New Roman"/>
          <w:sz w:val="21"/>
          <w:szCs w:val="21"/>
        </w:rPr>
        <w:t xml:space="preserve">[33] Loshchilov, I., and Hutter, F. (2019). Decoupled weight decay regularization. In International Conference on Learning Representations (ICLR). https://openreview.net/forum?id=Bkg6RiCqY7</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olor w:val="1A3A5C"/>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A3A5C"/>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2026-04-29T05:26:21.095Z</dcterms:created>
  <dcterms:modified xsi:type="dcterms:W3CDTF">2026-04-29T05:26:21.097Z</dcterms:modified>
</cp:coreProperties>
</file>

<file path=docProps/custom.xml><?xml version="1.0" encoding="utf-8"?>
<Properties xmlns="http://schemas.openxmlformats.org/officeDocument/2006/custom-properties" xmlns:vt="http://schemas.openxmlformats.org/officeDocument/2006/docPropsVTypes"/>
</file>