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MEDICAL REPORT</w:t>
      </w:r>
    </w:p>
    <w:p>
      <w:pPr>
        <w:spacing w:after="200"/>
      </w:pPr>
      <w:r>
        <w:t xml:space="preserve">Date: 8/14/2025</w:t>
      </w:r>
    </w:p>
    <w:p>
      <w:pPr>
        <w:spacing w:after="100"/>
      </w:pPr>
      <w:r>
        <w:t xml:space="preserve">**Medical Report**</w:t>
      </w:r>
    </w:p>
    <w:p>
      <w:pPr>
        <w:spacing w:after="100"/>
      </w:pPr>
      <w:r>
        <w:t xml:space="preserve">**Patient Presentation:**</w:t>
      </w:r>
    </w:p>
    <w:p>
      <w:pPr>
        <w:spacing w:after="100"/>
      </w:pPr>
      <w:r>
        <w:t xml:space="preserve">The patient, a 45-year-old female, presented to the clinic with complaints of persistent lower back pain for the past three weeks. The pain is described as a dull ache, occasionally sharp with certain movements, and is rated at 6/10 in intensity. The patient reports the pain is exacerbated by prolonged sitting and relieved by lying down. There is no history of trauma, but the patient mentions increased stress at work and a recent increase in physical activity. The patient denies any radiating pain, numbness, or tingling in the lower extremities. No bowel or bladder dysfunction is reported.</w:t>
      </w:r>
    </w:p>
    <w:p>
      <w:pPr>
        <w:spacing w:after="100"/>
      </w:pPr>
      <w:r>
        <w:t xml:space="preserve">**Clinical Examination:**</w:t>
      </w:r>
    </w:p>
    <w:p>
      <w:pPr>
        <w:spacing w:after="100"/>
      </w:pPr>
      <w:r>
        <w:t xml:space="preserve">Upon physical examination, the patient appears in mild distress due to pain. Vital signs are stable: blood pressure 120/80 mmHg, heart rate 78 bpm, respiratory rate 16 breaths per minute, and temperature 98.6°F. The lumbar spine exhibits tenderness upon palpation, particularly at the L4-L5 region. Range of motion is limited in flexion and extension due to pain. Straight leg raise test is negative bilaterally. Neurological examination reveals no deficits; reflexes are intact, and muscle strength is 5/5 in both lower extremities. Gait is normal.</w:t>
      </w:r>
    </w:p>
    <w:p>
      <w:pPr>
        <w:spacing w:after="100"/>
      </w:pPr>
      <w:r>
        <w:t xml:space="preserve">**Diagnosis:**</w:t>
      </w:r>
    </w:p>
    <w:p>
      <w:pPr>
        <w:spacing w:after="100"/>
      </w:pPr>
      <w:r>
        <w:t xml:space="preserve">Based on the clinical presentation and examination findings, the patient is diagnosed with mechanical lower back pain, likely due to muscle strain and increased physical activity. Differential diagnoses such as herniated disc or spinal stenosis are considered less likely given the absence of neurological symptoms.</w:t>
      </w:r>
    </w:p>
    <w:p>
      <w:pPr>
        <w:spacing w:after="100"/>
      </w:pPr>
      <w:r>
        <w:t xml:space="preserve">**Treatment Plan:**</w:t>
      </w:r>
    </w:p>
    <w:p>
      <w:pPr>
        <w:spacing w:after="100"/>
      </w:pPr>
      <w:r>
        <w:t xml:space="preserve">1. **Medication:** Prescribe NSAIDs (e.g., Ibuprofen 400 mg every 6-8 hours as needed) for pain management.
2. **Physical Therapy:** Initiate a referral for physical therapy focusing on core strengthening exercises, stretching, and posture correction.
3. **Activity Modification:** Advise the patient to avoid activities that exacerbate pain, such as prolonged sitting or heavy lifting. Encourage regular breaks and ergonomic adjustments at the workplace.
4. **Follow-Up:** Schedule a follow-up appointment in 4 weeks to assess the patient's progress and response to treatment.</w:t>
      </w:r>
    </w:p>
    <w:p>
      <w:pPr>
        <w:spacing w:after="100"/>
      </w:pPr>
      <w:r>
        <w:t xml:space="preserve">**Prognosis:**</w:t>
      </w:r>
    </w:p>
    <w:p>
      <w:pPr>
        <w:spacing w:after="100"/>
      </w:pPr>
      <w:r>
        <w:t xml:space="preserve">The prognosis for mechanical lower back pain is generally favorable with appropriate conservative management. The patient is expected to experience significant improvement within 4-6 weeks with adherence to the treatment plan.</w:t>
      </w:r>
    </w:p>
    <w:p>
      <w:pPr>
        <w:spacing w:after="100"/>
      </w:pPr>
      <w:r>
        <w:t xml:space="preserve">**Recommendations:**</w:t>
      </w:r>
    </w:p>
    <w:p>
      <w:pPr>
        <w:spacing w:after="100"/>
      </w:pPr>
      <w:r>
        <w:t xml:space="preserve">1. Educate the patient on proper body mechanics and posture to prevent recurrence.
2. Encourage the incorporation of regular low-impact aerobic exercises, such as walking or swimming, to maintain overall fitness and support back health.
3. Discuss stress management techniques to address potential contributing factors to muscle tension.
4. Consider imaging studies, such as an MRI of the lumbar spine, if symptoms persist or worsen despite conservative treatment.</w:t>
      </w:r>
    </w:p>
    <w:p>
      <w:pPr>
        <w:spacing w:after="100"/>
      </w:pPr>
      <w:r>
        <w:t xml:space="preserve">This report is intended for the patient's medical record and should be reviewed by the attending physician for further management decisions.</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2025-08-14T12:40:56.818Z</dcterms:created>
  <dcterms:modified xsi:type="dcterms:W3CDTF">2025-08-14T12:40:56.818Z</dcterms:modified>
</cp:coreProperties>
</file>

<file path=docProps/custom.xml><?xml version="1.0" encoding="utf-8"?>
<Properties xmlns="http://schemas.openxmlformats.org/officeDocument/2006/custom-properties" xmlns:vt="http://schemas.openxmlformats.org/officeDocument/2006/docPropsVTypes"/>
</file>