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739A6" w14:textId="46019124" w:rsidR="00476241" w:rsidRDefault="00BC78F8">
      <w:r>
        <w:rPr>
          <w:rFonts w:ascii="Arial" w:hAnsi="Arial" w:cs="Arial"/>
          <w:color w:val="3C4043"/>
          <w:spacing w:val="3"/>
          <w:sz w:val="21"/>
          <w:szCs w:val="21"/>
        </w:rPr>
        <w:t>1. WAP to implement exception handling mechanism for different types of scenarios: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- a number cannot be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divide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by zero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- a person cannot be able to vote if his/her age is less than 18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- a password cannot be validate if it doesn’t contains an uppercase letter</w:t>
      </w:r>
    </w:p>
    <w:sectPr w:rsidR="00476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F8"/>
    <w:rsid w:val="00476241"/>
    <w:rsid w:val="00BC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53BF4"/>
  <w15:chartTrackingRefBased/>
  <w15:docId w15:val="{BB05E281-E217-49E5-AF93-48381E15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Madhavbhai Vaghasiya</dc:creator>
  <cp:keywords/>
  <dc:description/>
  <cp:lastModifiedBy>Darshan Madhavbhai Vaghasiya</cp:lastModifiedBy>
  <cp:revision>2</cp:revision>
  <dcterms:created xsi:type="dcterms:W3CDTF">2022-09-08T10:46:00Z</dcterms:created>
  <dcterms:modified xsi:type="dcterms:W3CDTF">2022-09-08T10:47:00Z</dcterms:modified>
</cp:coreProperties>
</file>