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72"/>
          <w:szCs w:val="72"/>
        </w:rPr>
        <w:t xml:space="preserve">WealthPilotX</w:t>
      </w:r>
    </w:p>
    <w:p>
      <w:pPr>
        <w:spacing w:after="100" w:before="200"/>
        <w:jc w:val="center"/>
      </w:pPr>
      <w:r>
        <w:rPr>
          <w:i/>
          <w:iCs/>
          <w:color w:val="2E74B5"/>
          <w:sz w:val="32"/>
          <w:szCs w:val="32"/>
        </w:rPr>
        <w:t xml:space="preserve">AI-Powered Personal Wealth Advisor</w:t>
      </w:r>
    </w:p>
    <w:p>
      <w:pPr>
        <w:spacing w:after="600"/>
        <w:jc w:val="center"/>
      </w:pPr>
      <w:r>
        <w:rPr>
          <w:color w:val="555555"/>
          <w:sz w:val="28"/>
          <w:szCs w:val="28"/>
        </w:rPr>
        <w:t xml:space="preserve">Product Requirements Document</w:t>
      </w:r>
    </w:p>
    <w:p>
      <w:pPr>
        <w:spacing w:before="1600"/>
        <w:jc w:val="center"/>
      </w:pPr>
      <w:r>
        <w:rPr>
          <w:b/>
          <w:bCs/>
          <w:sz w:val="24"/>
          <w:szCs w:val="24"/>
        </w:rPr>
        <w:t xml:space="preserve">Version 2.0 — Project-Ready</w:t>
      </w:r>
    </w:p>
    <w:p>
      <w:pPr>
        <w:spacing w:before="100"/>
        <w:jc w:val="center"/>
      </w:pPr>
      <w:r>
        <w:rPr>
          <w:color w:val="595959"/>
          <w:sz w:val="22"/>
          <w:szCs w:val="22"/>
        </w:rPr>
        <w:t xml:space="preserve">Status: Approved for Development</w:t>
      </w:r>
    </w:p>
    <w:p>
      <w:pPr>
        <w:spacing w:before="100"/>
        <w:jc w:val="center"/>
      </w:pPr>
      <w:r>
        <w:rPr>
          <w:color w:val="595959"/>
          <w:sz w:val="22"/>
          <w:szCs w:val="22"/>
        </w:rPr>
        <w:t xml:space="preserve">Date: August 28, 2026</w:t>
      </w:r>
    </w:p>
    <w:p>
      <w:r>
        <w:br w:type="page"/>
      </w:r>
    </w:p>
    <w:p>
      <w:pPr>
        <w:pStyle w:val="Heading1"/>
        <w:spacing w:after="200" w:before="400"/>
      </w:pPr>
      <w:r>
        <w:rPr>
          <w:b/>
          <w:bCs/>
          <w:color w:val="1F3864"/>
        </w:rPr>
        <w:t xml:space="preserve">Document Control</w:t>
      </w:r>
    </w:p>
    <w:p>
      <w:pPr>
        <w:pStyle w:val="Heading2"/>
        <w:spacing w:after="140" w:before="280"/>
      </w:pPr>
      <w:r>
        <w:rPr>
          <w:b/>
          <w:bCs/>
          <w:color w:val="2E74B5"/>
        </w:rPr>
        <w:t xml:space="preserve">Revision History</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1900"/>
        <w:gridCol w:w="2400"/>
        <w:gridCol w:w="3350"/>
      </w:tblGrid>
      <w:tr>
        <w:trPr>
          <w:tblHeader/>
        </w:trPr>
        <w:tc>
          <w:tcPr>
            <w:tcW w:type="dxa" w:w="17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Version</w:t>
            </w:r>
          </w:p>
        </w:tc>
        <w:tc>
          <w:tcPr>
            <w:tcW w:type="dxa" w:w="19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Date</w:t>
            </w:r>
          </w:p>
        </w:tc>
        <w:tc>
          <w:tcPr>
            <w:tcW w:type="dxa" w:w="24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Author</w:t>
            </w:r>
          </w:p>
        </w:tc>
        <w:tc>
          <w:tcPr>
            <w:tcW w:type="dxa" w:w="33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Summary of Changes</w:t>
            </w:r>
          </w:p>
        </w:tc>
      </w:tr>
      <w:tr>
        <w:tc>
          <w:tcPr>
            <w:tcW w:type="dxa" w:w="1700"/>
            <w:tcMar>
              <w:top w:type="dxa" w:w="80"/>
              <w:left w:type="dxa" w:w="100"/>
              <w:bottom w:type="dxa" w:w="80"/>
              <w:right w:type="dxa" w:w="100"/>
            </w:tcMar>
            <w:vAlign w:val="center"/>
          </w:tcPr>
          <w:p>
            <w:pPr>
              <w:spacing w:after="0"/>
              <w:jc w:val="left"/>
            </w:pPr>
            <w:r>
              <w:rPr>
                <w:b w:val="false"/>
                <w:bCs w:val="false"/>
                <w:color w:val="000000"/>
                <w:sz w:val="20"/>
                <w:szCs w:val="20"/>
              </w:rPr>
              <w:t xml:space="preserve">1.0</w:t>
            </w:r>
          </w:p>
        </w:tc>
        <w:tc>
          <w:tcPr>
            <w:tcW w:type="dxa" w:w="1900"/>
            <w:tcMar>
              <w:top w:type="dxa" w:w="80"/>
              <w:left w:type="dxa" w:w="100"/>
              <w:bottom w:type="dxa" w:w="80"/>
              <w:right w:type="dxa" w:w="100"/>
            </w:tcMar>
            <w:vAlign w:val="center"/>
          </w:tcPr>
          <w:p>
            <w:pPr>
              <w:spacing w:after="0"/>
              <w:jc w:val="left"/>
            </w:pPr>
            <w:r>
              <w:rPr>
                <w:b w:val="false"/>
                <w:bCs w:val="false"/>
                <w:color w:val="000000"/>
                <w:sz w:val="20"/>
                <w:szCs w:val="20"/>
              </w:rPr>
              <w:t xml:space="preserve">2026-08-XX</w:t>
            </w:r>
          </w:p>
        </w:tc>
        <w:tc>
          <w:tcPr>
            <w:tcW w:type="dxa" w:w="2400"/>
            <w:tcMar>
              <w:top w:type="dxa" w:w="80"/>
              <w:left w:type="dxa" w:w="100"/>
              <w:bottom w:type="dxa" w:w="80"/>
              <w:right w:type="dxa" w:w="100"/>
            </w:tcMar>
            <w:vAlign w:val="center"/>
          </w:tcPr>
          <w:p>
            <w:pPr>
              <w:spacing w:after="0"/>
              <w:jc w:val="left"/>
            </w:pPr>
            <w:r>
              <w:rPr>
                <w:b w:val="false"/>
                <w:bCs w:val="false"/>
                <w:color w:val="000000"/>
                <w:sz w:val="20"/>
                <w:szCs w:val="20"/>
              </w:rPr>
              <w:t xml:space="preserve">Product Owner</w:t>
            </w:r>
          </w:p>
        </w:tc>
        <w:tc>
          <w:tcPr>
            <w:tcW w:type="dxa" w:w="3350"/>
            <w:tcMar>
              <w:top w:type="dxa" w:w="80"/>
              <w:left w:type="dxa" w:w="100"/>
              <w:bottom w:type="dxa" w:w="80"/>
              <w:right w:type="dxa" w:w="100"/>
            </w:tcMar>
            <w:vAlign w:val="center"/>
          </w:tcPr>
          <w:p>
            <w:pPr>
              <w:spacing w:after="0"/>
              <w:jc w:val="left"/>
            </w:pPr>
            <w:r>
              <w:rPr>
                <w:b w:val="false"/>
                <w:bCs w:val="false"/>
                <w:color w:val="000000"/>
                <w:sz w:val="20"/>
                <w:szCs w:val="20"/>
              </w:rPr>
              <w:t xml:space="preserve">Initial PRD derived from project report.</w:t>
            </w:r>
          </w:p>
        </w:tc>
      </w:tr>
      <w:tr>
        <w:tc>
          <w:tcPr>
            <w:tcW w:type="dxa" w:w="17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2.0</w:t>
            </w:r>
          </w:p>
        </w:tc>
        <w:tc>
          <w:tcPr>
            <w:tcW w:type="dxa" w:w="1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2026-08-28</w:t>
            </w:r>
          </w:p>
        </w:tc>
        <w:tc>
          <w:tcPr>
            <w:tcW w:type="dxa" w:w="24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Product Owner</w:t>
            </w:r>
          </w:p>
        </w:tc>
        <w:tc>
          <w:tcPr>
            <w:tcW w:type="dxa" w:w="33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Added acceptance criteria, compliance/legal section, data governance, API contracts, testing strategy, risk register, timeline estimates, and glossary. Closed gaps identified in review.</w:t>
            </w:r>
          </w:p>
        </w:tc>
      </w:tr>
    </w:tbl>
    <w:p>
      <w:pPr>
        <w:pStyle w:val="Heading2"/>
        <w:spacing w:after="140" w:before="280"/>
      </w:pPr>
      <w:r>
        <w:rPr>
          <w:b/>
          <w:bCs/>
          <w:color w:val="2E74B5"/>
        </w:rPr>
        <w:t xml:space="preserve">Distribution / Approval</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2200"/>
        <w:gridCol w:w="4550"/>
      </w:tblGrid>
      <w:tr>
        <w:trPr>
          <w:tblHeader/>
        </w:trPr>
        <w:tc>
          <w:tcPr>
            <w:tcW w:type="dxa" w:w="26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Role</w:t>
            </w:r>
          </w:p>
        </w:tc>
        <w:tc>
          <w:tcPr>
            <w:tcW w:type="dxa" w:w="22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Name</w:t>
            </w:r>
          </w:p>
        </w:tc>
        <w:tc>
          <w:tcPr>
            <w:tcW w:type="dxa" w:w="45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Responsibility</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Product Owner</w:t>
            </w:r>
          </w:p>
        </w:tc>
        <w:tc>
          <w:tcPr>
            <w:tcW w:type="dxa" w:w="2200"/>
            <w:tcMar>
              <w:top w:type="dxa" w:w="80"/>
              <w:left w:type="dxa" w:w="100"/>
              <w:bottom w:type="dxa" w:w="80"/>
              <w:right w:type="dxa" w:w="100"/>
            </w:tcMar>
            <w:vAlign w:val="center"/>
          </w:tcPr>
          <w:p>
            <w:pPr>
              <w:spacing w:after="0"/>
              <w:jc w:val="left"/>
            </w:pPr>
            <w:r>
              <w:rPr>
                <w:b w:val="false"/>
                <w:bCs w:val="false"/>
                <w:color w:val="000000"/>
                <w:sz w:val="20"/>
                <w:szCs w:val="20"/>
              </w:rPr>
              <w:t xml:space="preserve">TBD</w:t>
            </w:r>
          </w:p>
        </w:tc>
        <w:tc>
          <w:tcPr>
            <w:tcW w:type="dxa" w:w="4550"/>
            <w:tcMar>
              <w:top w:type="dxa" w:w="80"/>
              <w:left w:type="dxa" w:w="100"/>
              <w:bottom w:type="dxa" w:w="80"/>
              <w:right w:type="dxa" w:w="100"/>
            </w:tcMar>
            <w:vAlign w:val="center"/>
          </w:tcPr>
          <w:p>
            <w:pPr>
              <w:spacing w:after="0"/>
              <w:jc w:val="left"/>
            </w:pPr>
            <w:r>
              <w:rPr>
                <w:b w:val="false"/>
                <w:bCs w:val="false"/>
                <w:color w:val="000000"/>
                <w:sz w:val="20"/>
                <w:szCs w:val="20"/>
              </w:rPr>
              <w:t xml:space="preserve">Overall scope, prioritization, sign-off</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Tech Lead / Solo Developer</w:t>
            </w:r>
          </w:p>
        </w:tc>
        <w:tc>
          <w:tcPr>
            <w:tcW w:type="dxa" w:w="2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TBD</w:t>
            </w:r>
          </w:p>
        </w:tc>
        <w:tc>
          <w:tcPr>
            <w:tcW w:type="dxa" w:w="45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Architecture, implementation, delivery</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ML Lead</w:t>
            </w:r>
          </w:p>
        </w:tc>
        <w:tc>
          <w:tcPr>
            <w:tcW w:type="dxa" w:w="2200"/>
            <w:tcMar>
              <w:top w:type="dxa" w:w="80"/>
              <w:left w:type="dxa" w:w="100"/>
              <w:bottom w:type="dxa" w:w="80"/>
              <w:right w:type="dxa" w:w="100"/>
            </w:tcMar>
            <w:vAlign w:val="center"/>
          </w:tcPr>
          <w:p>
            <w:pPr>
              <w:spacing w:after="0"/>
              <w:jc w:val="left"/>
            </w:pPr>
            <w:r>
              <w:rPr>
                <w:b w:val="false"/>
                <w:bCs w:val="false"/>
                <w:color w:val="000000"/>
                <w:sz w:val="20"/>
                <w:szCs w:val="20"/>
              </w:rPr>
              <w:t xml:space="preserve">TBD</w:t>
            </w:r>
          </w:p>
        </w:tc>
        <w:tc>
          <w:tcPr>
            <w:tcW w:type="dxa" w:w="4550"/>
            <w:tcMar>
              <w:top w:type="dxa" w:w="80"/>
              <w:left w:type="dxa" w:w="100"/>
              <w:bottom w:type="dxa" w:w="80"/>
              <w:right w:type="dxa" w:w="100"/>
            </w:tcMar>
            <w:vAlign w:val="center"/>
          </w:tcPr>
          <w:p>
            <w:pPr>
              <w:spacing w:after="0"/>
              <w:jc w:val="left"/>
            </w:pPr>
            <w:r>
              <w:rPr>
                <w:b w:val="false"/>
                <w:bCs w:val="false"/>
                <w:color w:val="000000"/>
                <w:sz w:val="20"/>
                <w:szCs w:val="20"/>
              </w:rPr>
              <w:t xml:space="preserve">Model design, training, evaluation</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Reviewer / Mentor</w:t>
            </w:r>
          </w:p>
        </w:tc>
        <w:tc>
          <w:tcPr>
            <w:tcW w:type="dxa" w:w="2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TBD</w:t>
            </w:r>
          </w:p>
        </w:tc>
        <w:tc>
          <w:tcPr>
            <w:tcW w:type="dxa" w:w="45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Academic/technical review (if applicable)</w:t>
            </w:r>
          </w:p>
        </w:tc>
      </w:tr>
    </w:tbl>
    <w:p>
      <w:r>
        <w:br w:type="page"/>
      </w:r>
    </w:p>
    <w:p>
      <w:pPr>
        <w:pStyle w:val="Heading1"/>
        <w:spacing w:after="200" w:before="400"/>
      </w:pPr>
      <w:r>
        <w:rPr>
          <w:b/>
          <w:bCs/>
          <w:color w:val="1F3864"/>
        </w:rPr>
        <w:t xml:space="preserve">1. Executive Summary</w:t>
      </w:r>
    </w:p>
    <w:p>
      <w:pPr>
        <w:spacing w:after="120"/>
      </w:pPr>
      <w:r>
        <w:t xml:space="preserve">WealthPilotX is an AI-driven financial decision-support platform that analyzes an investor's financial profile alongside market and macroeconomic data to produce personalized, explainable, and risk-aware portfolio recommendations. The system does not execute trades, hold funds, or act as a licensed financial advisor — it is a decision-support and educational research tool.</w:t>
      </w:r>
    </w:p>
    <w:p>
      <w:pPr>
        <w:spacing w:after="120"/>
      </w:pPr>
      <w:r>
        <w:t xml:space="preserve">This version of the PRD closes the primary gaps found in the original draft: missing acceptance criteria on functional requirements, no legal/compliance framing for a fintech-adjacent product, no data governance or privacy plan, an underspecified API contract, no explicit testing strategy, no risk register, and no timeline estimates. These additions make the document usable as a direct engineering backlog rather than only a concept description.</w:t>
      </w:r>
    </w:p>
    <w:tbl>
      <w:tblPr>
        <w:tblW w:type="dxa" w:w="9350"/>
        <w:tblBorders>
          <w:top w:val="single" w:color="2E74B5" w:sz="4"/>
          <w:left w:val="single" w:color="2E74B5" w:sz="4"/>
          <w:bottom w:val="single" w:color="2E74B5" w:sz="4"/>
          <w:right w:val="single" w:color="2E74B5" w:sz="4"/>
          <w:insideH w:val="none"/>
          <w:insideV w:val="none"/>
        </w:tblBorders>
      </w:tblPr>
      <w:tblGrid>
        <w:gridCol w:w="100"/>
      </w:tblGrid>
      <w:tr>
        <w:tc>
          <w:tcPr>
            <w:tcW w:type="dxa" w:w="9350"/>
            <w:shd w:fill="EAF1FA" w:color="auto" w:val="clear"/>
            <w:tcMar>
              <w:top w:type="dxa" w:w="120"/>
              <w:left w:type="dxa" w:w="160"/>
              <w:bottom w:type="dxa" w:w="120"/>
              <w:right w:type="dxa" w:w="160"/>
            </w:tcMar>
          </w:tcPr>
          <w:p>
            <w:pPr>
              <w:spacing w:after="60"/>
            </w:pPr>
            <w:r>
              <w:rPr>
                <w:b/>
                <w:bCs/>
                <w:color w:val="1F3864"/>
              </w:rPr>
              <w:t xml:space="preserve">How to read this document</w:t>
            </w:r>
          </w:p>
          <w:p>
            <w:r>
              <w:t xml:space="preserve">Sections 1–8 define the problem and users. Sections 9–19 are the engineering specification (functional requirements, ML, data, database, API, frontend, stack, NFRs, compliance, evaluation). Sections 20–27 cover delivery: MVP scope, milestones, success criteria, risks, and glossary.</w:t>
            </w:r>
          </w:p>
        </w:tc>
      </w:tr>
    </w:tbl>
    <w:p>
      <w:r>
        <w:br w:type="page"/>
      </w:r>
    </w:p>
    <w:p>
      <w:pPr>
        <w:pStyle w:val="Heading1"/>
        <w:spacing w:after="200" w:before="400"/>
      </w:pPr>
      <w:r>
        <w:rPr>
          <w:b/>
          <w:bCs/>
          <w:color w:val="1F3864"/>
        </w:rPr>
        <w:t xml:space="preserve">2. Product Overview</w:t>
      </w:r>
    </w:p>
    <w:p>
      <w:pPr>
        <w:pStyle w:val="Heading2"/>
        <w:spacing w:after="140" w:before="280"/>
      </w:pPr>
      <w:r>
        <w:rPr>
          <w:b/>
          <w:bCs/>
          <w:color w:val="2E74B5"/>
        </w:rPr>
        <w:t xml:space="preserve">2.1 Product Name</w:t>
      </w:r>
    </w:p>
    <w:p>
      <w:pPr>
        <w:spacing w:after="120"/>
      </w:pPr>
      <w:r>
        <w:t xml:space="preserve">WealthPilotX</w:t>
      </w:r>
    </w:p>
    <w:p>
      <w:pPr>
        <w:pStyle w:val="Heading2"/>
        <w:spacing w:after="140" w:before="280"/>
      </w:pPr>
      <w:r>
        <w:rPr>
          <w:b/>
          <w:bCs/>
          <w:color w:val="2E74B5"/>
        </w:rPr>
        <w:t xml:space="preserve">2.2 Tagline</w:t>
      </w:r>
    </w:p>
    <w:p>
      <w:pPr>
        <w:spacing w:after="120"/>
      </w:pPr>
      <w:r>
        <w:t xml:space="preserve">Understand your risk. Discover opportunities. Build smarter portfolios.</w:t>
      </w:r>
    </w:p>
    <w:p>
      <w:pPr>
        <w:pStyle w:val="Heading2"/>
        <w:spacing w:after="140" w:before="280"/>
      </w:pPr>
      <w:r>
        <w:rPr>
          <w:b/>
          <w:bCs/>
          <w:color w:val="2E74B5"/>
        </w:rPr>
        <w:t xml:space="preserve">2.3 Product Vision</w:t>
      </w:r>
    </w:p>
    <w:p>
      <w:pPr>
        <w:spacing w:after="120"/>
      </w:pPr>
      <w:r>
        <w:t xml:space="preserve">WealthPilotX is an AI-driven financial decision-support platform that analyzes market data, economic indicators, and an individual's financial profile to generate personalized investment insights and portfolio recommendations. The platform unifies market analysis, investor risk assessment, market prediction, portfolio optimization, personalized recommendations, explainable AI, fairness evaluation, and interactive visualization into a single system.</w:t>
      </w:r>
    </w:p>
    <w:p>
      <w:pPr>
        <w:pStyle w:val="Heading1"/>
        <w:spacing w:after="200" w:before="400"/>
      </w:pPr>
      <w:r>
        <w:rPr>
          <w:b/>
          <w:bCs/>
          <w:color w:val="1F3864"/>
        </w:rPr>
        <w:t xml:space="preserve">3. Problem Statement</w:t>
      </w:r>
    </w:p>
    <w:p>
      <w:pPr>
        <w:spacing w:after="120"/>
      </w:pPr>
      <w:r>
        <w:t xml:space="preserve">Retail investors have access to large amounts of financial information but often lack the expertise or tools required to interpret it effectively. Traditional investment analysis requires manual market monitoring, financial knowledge, risk assessment, and portfolio construction — skills and time most retail investors don't have.</w:t>
      </w:r>
    </w:p>
    <w:p>
      <w:pPr>
        <w:spacing w:after="120"/>
      </w:pPr>
      <w:r>
        <w:t xml:space="preserve">WealthPilotX addresses this by combining heterogeneous financial data with machine learning to provide personalized, explainable, and risk-aware decision support.</w:t>
      </w:r>
    </w:p>
    <w:tbl>
      <w:tblPr>
        <w:tblW w:type="dxa" w:w="9350"/>
        <w:tblBorders>
          <w:top w:val="single" w:color="2E74B5" w:sz="4"/>
          <w:left w:val="single" w:color="2E74B5" w:sz="4"/>
          <w:bottom w:val="single" w:color="2E74B5" w:sz="4"/>
          <w:right w:val="single" w:color="2E74B5" w:sz="4"/>
          <w:insideH w:val="none"/>
          <w:insideV w:val="none"/>
        </w:tblBorders>
      </w:tblPr>
      <w:tblGrid>
        <w:gridCol w:w="100"/>
      </w:tblGrid>
      <w:tr>
        <w:tc>
          <w:tcPr>
            <w:tcW w:type="dxa" w:w="9350"/>
            <w:shd w:fill="EAF1FA" w:color="auto" w:val="clear"/>
            <w:tcMar>
              <w:top w:type="dxa" w:w="120"/>
              <w:left w:type="dxa" w:w="160"/>
              <w:bottom w:type="dxa" w:w="120"/>
              <w:right w:type="dxa" w:w="160"/>
            </w:tcMar>
          </w:tcPr>
          <w:p>
            <w:pPr>
              <w:spacing w:after="60"/>
            </w:pPr>
            <w:r>
              <w:rPr>
                <w:b/>
                <w:bCs/>
                <w:color w:val="1F3864"/>
              </w:rPr>
              <w:t xml:space="preserve">Core Problem</w:t>
            </w:r>
          </w:p>
          <w:p>
            <w:r>
              <w:t xml:space="preserve">How can we build an intelligent system that analyzes both market conditions and individual financial characteristics to generate personalized, explainable, and risk-aware portfolio recommendations?</w:t>
            </w:r>
          </w:p>
        </w:tc>
      </w:tr>
    </w:tbl>
    <w:p>
      <w:pPr>
        <w:pStyle w:val="Heading1"/>
        <w:spacing w:after="200" w:before="400"/>
      </w:pPr>
      <w:r>
        <w:rPr>
          <w:b/>
          <w:bCs/>
          <w:color w:val="1F3864"/>
        </w:rPr>
        <w:t xml:space="preserve">4. Goals &amp; Success Metrics</w:t>
      </w:r>
    </w:p>
    <w:p>
      <w:pPr>
        <w:spacing w:after="120"/>
      </w:pPr>
      <w:r>
        <w:t xml:space="preserve">Each goal below now carries a measurable target so progress can be tracked objectively rather than only described qualitatively.</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500"/>
        <w:gridCol w:w="3700"/>
        <w:gridCol w:w="3150"/>
      </w:tblGrid>
      <w:tr>
        <w:trPr>
          <w:tblHeader/>
        </w:trPr>
        <w:tc>
          <w:tcPr>
            <w:tcW w:type="dxa" w:w="25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Goal</w:t>
            </w:r>
          </w:p>
        </w:tc>
        <w:tc>
          <w:tcPr>
            <w:tcW w:type="dxa" w:w="37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Description</w:t>
            </w:r>
          </w:p>
        </w:tc>
        <w:tc>
          <w:tcPr>
            <w:tcW w:type="dxa" w:w="31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Success Metric (Target)</w:t>
            </w:r>
          </w:p>
        </w:tc>
      </w:tr>
      <w:tr>
        <w:tc>
          <w:tcPr>
            <w:tcW w:type="dxa" w:w="2500"/>
            <w:tcMar>
              <w:top w:type="dxa" w:w="80"/>
              <w:left w:type="dxa" w:w="100"/>
              <w:bottom w:type="dxa" w:w="80"/>
              <w:right w:type="dxa" w:w="100"/>
            </w:tcMar>
            <w:vAlign w:val="center"/>
          </w:tcPr>
          <w:p>
            <w:pPr>
              <w:spacing w:after="0"/>
              <w:jc w:val="left"/>
            </w:pPr>
            <w:r>
              <w:rPr>
                <w:b w:val="false"/>
                <w:bCs w:val="false"/>
                <w:color w:val="000000"/>
                <w:sz w:val="20"/>
                <w:szCs w:val="20"/>
              </w:rPr>
              <w:t xml:space="preserve">G1 — Understand the Investor</w:t>
            </w:r>
          </w:p>
        </w:tc>
        <w:tc>
          <w:tcPr>
            <w:tcW w:type="dxa" w:w="3700"/>
            <w:tcMar>
              <w:top w:type="dxa" w:w="80"/>
              <w:left w:type="dxa" w:w="100"/>
              <w:bottom w:type="dxa" w:w="80"/>
              <w:right w:type="dxa" w:w="100"/>
            </w:tcMar>
            <w:vAlign w:val="center"/>
          </w:tcPr>
          <w:p>
            <w:pPr>
              <w:spacing w:after="0"/>
              <w:jc w:val="left"/>
            </w:pPr>
            <w:r>
              <w:rPr>
                <w:b w:val="false"/>
                <w:bCs w:val="false"/>
                <w:color w:val="000000"/>
                <w:sz w:val="20"/>
                <w:szCs w:val="20"/>
              </w:rPr>
              <w:t xml:space="preserve">Collect age, income, savings, investment experience, risk appetite, investment goal, investment horizon, and financial literacy.</w:t>
            </w:r>
          </w:p>
        </w:tc>
        <w:tc>
          <w:tcPr>
            <w:tcW w:type="dxa" w:w="3150"/>
            <w:tcMar>
              <w:top w:type="dxa" w:w="80"/>
              <w:left w:type="dxa" w:w="100"/>
              <w:bottom w:type="dxa" w:w="80"/>
              <w:right w:type="dxa" w:w="100"/>
            </w:tcMar>
            <w:vAlign w:val="center"/>
          </w:tcPr>
          <w:p>
            <w:pPr>
              <w:spacing w:after="0"/>
              <w:jc w:val="left"/>
            </w:pPr>
            <w:r>
              <w:rPr>
                <w:b w:val="false"/>
                <w:bCs w:val="false"/>
                <w:color w:val="000000"/>
                <w:sz w:val="20"/>
                <w:szCs w:val="20"/>
              </w:rPr>
              <w:t xml:space="preserve">100% of required profile fields validated before risk assessment runs; profile completion in &lt;3 minutes median.</w:t>
            </w:r>
          </w:p>
        </w:tc>
      </w:tr>
      <w:tr>
        <w:tc>
          <w:tcPr>
            <w:tcW w:type="dxa" w:w="25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G2 — Understand the Market</w:t>
            </w:r>
          </w:p>
        </w:tc>
        <w:tc>
          <w:tcPr>
            <w:tcW w:type="dxa" w:w="37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Collect and process historical prices, trading volume, technical indicators, and macroeconomic indicators.</w:t>
            </w:r>
          </w:p>
        </w:tc>
        <w:tc>
          <w:tcPr>
            <w:tcW w:type="dxa" w:w="31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Daily ingestion job succeeds for ≥99% of trading days across the tracked asset universe.</w:t>
            </w:r>
          </w:p>
        </w:tc>
      </w:tr>
      <w:tr>
        <w:tc>
          <w:tcPr>
            <w:tcW w:type="dxa" w:w="2500"/>
            <w:tcMar>
              <w:top w:type="dxa" w:w="80"/>
              <w:left w:type="dxa" w:w="100"/>
              <w:bottom w:type="dxa" w:w="80"/>
              <w:right w:type="dxa" w:w="100"/>
            </w:tcMar>
            <w:vAlign w:val="center"/>
          </w:tcPr>
          <w:p>
            <w:pPr>
              <w:spacing w:after="0"/>
              <w:jc w:val="left"/>
            </w:pPr>
            <w:r>
              <w:rPr>
                <w:b w:val="false"/>
                <w:bCs w:val="false"/>
                <w:color w:val="000000"/>
                <w:sz w:val="20"/>
                <w:szCs w:val="20"/>
              </w:rPr>
              <w:t xml:space="preserve">G3 — Predict Market Trends</w:t>
            </w:r>
          </w:p>
        </w:tc>
        <w:tc>
          <w:tcPr>
            <w:tcW w:type="dxa" w:w="3700"/>
            <w:tcMar>
              <w:top w:type="dxa" w:w="80"/>
              <w:left w:type="dxa" w:w="100"/>
              <w:bottom w:type="dxa" w:w="80"/>
              <w:right w:type="dxa" w:w="100"/>
            </w:tcMar>
            <w:vAlign w:val="center"/>
          </w:tcPr>
          <w:p>
            <w:pPr>
              <w:spacing w:after="0"/>
              <w:jc w:val="left"/>
            </w:pPr>
            <w:r>
              <w:rPr>
                <w:b w:val="false"/>
                <w:bCs w:val="false"/>
                <w:color w:val="000000"/>
                <w:sz w:val="20"/>
                <w:szCs w:val="20"/>
              </w:rPr>
              <w:t xml:space="preserve">Estimate future market movement using XGBoost as the initial model.</w:t>
            </w:r>
          </w:p>
        </w:tc>
        <w:tc>
          <w:tcPr>
            <w:tcW w:type="dxa" w:w="3150"/>
            <w:tcMar>
              <w:top w:type="dxa" w:w="80"/>
              <w:left w:type="dxa" w:w="100"/>
              <w:bottom w:type="dxa" w:w="80"/>
              <w:right w:type="dxa" w:w="100"/>
            </w:tcMar>
            <w:vAlign w:val="center"/>
          </w:tcPr>
          <w:p>
            <w:pPr>
              <w:spacing w:after="0"/>
              <w:jc w:val="left"/>
            </w:pPr>
            <w:r>
              <w:rPr>
                <w:b w:val="false"/>
                <w:bCs w:val="false"/>
                <w:color w:val="000000"/>
                <w:sz w:val="20"/>
                <w:szCs w:val="20"/>
              </w:rPr>
              <w:t xml:space="preserve">R² and RMSE tracked per experiment; model promoted to production only if it beats a naive baseline (e.g., last-value or moving-average) on the held-out test set.</w:t>
            </w:r>
          </w:p>
        </w:tc>
      </w:tr>
      <w:tr>
        <w:tc>
          <w:tcPr>
            <w:tcW w:type="dxa" w:w="25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G4 — Determine Investor Risk</w:t>
            </w:r>
          </w:p>
        </w:tc>
        <w:tc>
          <w:tcPr>
            <w:tcW w:type="dxa" w:w="37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Classify investors into LOW, MEDIUM, or HIGH risk using an initial Random Forest model.</w:t>
            </w:r>
          </w:p>
        </w:tc>
        <w:tc>
          <w:tcPr>
            <w:tcW w:type="dxa" w:w="31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≥85% classification accuracy on labeled validation data; reviewed for class balance.</w:t>
            </w:r>
          </w:p>
        </w:tc>
      </w:tr>
      <w:tr>
        <w:tc>
          <w:tcPr>
            <w:tcW w:type="dxa" w:w="2500"/>
            <w:tcMar>
              <w:top w:type="dxa" w:w="80"/>
              <w:left w:type="dxa" w:w="100"/>
              <w:bottom w:type="dxa" w:w="80"/>
              <w:right w:type="dxa" w:w="100"/>
            </w:tcMar>
            <w:vAlign w:val="center"/>
          </w:tcPr>
          <w:p>
            <w:pPr>
              <w:spacing w:after="0"/>
              <w:jc w:val="left"/>
            </w:pPr>
            <w:r>
              <w:rPr>
                <w:b w:val="false"/>
                <w:bCs w:val="false"/>
                <w:color w:val="000000"/>
                <w:sz w:val="20"/>
                <w:szCs w:val="20"/>
              </w:rPr>
              <w:t xml:space="preserve">G5 — Generate Personalized Portfolios</w:t>
            </w:r>
          </w:p>
        </w:tc>
        <w:tc>
          <w:tcPr>
            <w:tcW w:type="dxa" w:w="3700"/>
            <w:tcMar>
              <w:top w:type="dxa" w:w="80"/>
              <w:left w:type="dxa" w:w="100"/>
              <w:bottom w:type="dxa" w:w="80"/>
              <w:right w:type="dxa" w:w="100"/>
            </w:tcMar>
            <w:vAlign w:val="center"/>
          </w:tcPr>
          <w:p>
            <w:pPr>
              <w:spacing w:after="0"/>
              <w:jc w:val="left"/>
            </w:pPr>
            <w:r>
              <w:rPr>
                <w:b w:val="false"/>
                <w:bCs w:val="false"/>
                <w:color w:val="000000"/>
                <w:sz w:val="20"/>
                <w:szCs w:val="20"/>
              </w:rPr>
              <w:t xml:space="preserve">Combine investor profile, risk profile, market predictions, asset characteristics, and optimization.</w:t>
            </w:r>
          </w:p>
        </w:tc>
        <w:tc>
          <w:tcPr>
            <w:tcW w:type="dxa" w:w="3150"/>
            <w:tcMar>
              <w:top w:type="dxa" w:w="80"/>
              <w:left w:type="dxa" w:w="100"/>
              <w:bottom w:type="dxa" w:w="80"/>
              <w:right w:type="dxa" w:w="100"/>
            </w:tcMar>
            <w:vAlign w:val="center"/>
          </w:tcPr>
          <w:p>
            <w:pPr>
              <w:spacing w:after="0"/>
              <w:jc w:val="left"/>
            </w:pPr>
            <w:r>
              <w:rPr>
                <w:b w:val="false"/>
                <w:bCs w:val="false"/>
                <w:color w:val="000000"/>
                <w:sz w:val="20"/>
                <w:szCs w:val="20"/>
              </w:rPr>
              <w:t xml:space="preserve">100% of generated portfolios satisfy hard constraints (weights sum to 1, max weight per asset class respected).</w:t>
            </w:r>
          </w:p>
        </w:tc>
      </w:tr>
      <w:tr>
        <w:tc>
          <w:tcPr>
            <w:tcW w:type="dxa" w:w="25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G6 — Explain Recommendations</w:t>
            </w:r>
          </w:p>
        </w:tc>
        <w:tc>
          <w:tcPr>
            <w:tcW w:type="dxa" w:w="37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Provide understandable reasons for portfolio and risk recommendations.</w:t>
            </w:r>
          </w:p>
        </w:tc>
        <w:tc>
          <w:tcPr>
            <w:tcW w:type="dxa" w:w="31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100% of recommendations return at least one human-readable explanation string; SHAP/LIME available for ≥1 model by Milestone 6.</w:t>
            </w:r>
          </w:p>
        </w:tc>
      </w:tr>
      <w:tr>
        <w:tc>
          <w:tcPr>
            <w:tcW w:type="dxa" w:w="2500"/>
            <w:tcMar>
              <w:top w:type="dxa" w:w="80"/>
              <w:left w:type="dxa" w:w="100"/>
              <w:bottom w:type="dxa" w:w="80"/>
              <w:right w:type="dxa" w:w="100"/>
            </w:tcMar>
            <w:vAlign w:val="center"/>
          </w:tcPr>
          <w:p>
            <w:pPr>
              <w:spacing w:after="0"/>
              <w:jc w:val="left"/>
            </w:pPr>
            <w:r>
              <w:rPr>
                <w:b w:val="false"/>
                <w:bCs w:val="false"/>
                <w:color w:val="000000"/>
                <w:sz w:val="20"/>
                <w:szCs w:val="20"/>
              </w:rPr>
              <w:t xml:space="preserve">G7 — Evaluate Fairness</w:t>
            </w:r>
          </w:p>
        </w:tc>
        <w:tc>
          <w:tcPr>
            <w:tcW w:type="dxa" w:w="3700"/>
            <w:tcMar>
              <w:top w:type="dxa" w:w="80"/>
              <w:left w:type="dxa" w:w="100"/>
              <w:bottom w:type="dxa" w:w="80"/>
              <w:right w:type="dxa" w:w="100"/>
            </w:tcMar>
            <w:vAlign w:val="center"/>
          </w:tcPr>
          <w:p>
            <w:pPr>
              <w:spacing w:after="0"/>
              <w:jc w:val="left"/>
            </w:pPr>
            <w:r>
              <w:rPr>
                <w:b w:val="false"/>
                <w:bCs w:val="false"/>
                <w:color w:val="000000"/>
                <w:sz w:val="20"/>
                <w:szCs w:val="20"/>
              </w:rPr>
              <w:t xml:space="preserve">Evaluate whether outcomes behave consistently across user groups.</w:t>
            </w:r>
          </w:p>
        </w:tc>
        <w:tc>
          <w:tcPr>
            <w:tcW w:type="dxa" w:w="3150"/>
            <w:tcMar>
              <w:top w:type="dxa" w:w="80"/>
              <w:left w:type="dxa" w:w="100"/>
              <w:bottom w:type="dxa" w:w="80"/>
              <w:right w:type="dxa" w:w="100"/>
            </w:tcMar>
            <w:vAlign w:val="center"/>
          </w:tcPr>
          <w:p>
            <w:pPr>
              <w:spacing w:after="0"/>
              <w:jc w:val="left"/>
            </w:pPr>
            <w:r>
              <w:rPr>
                <w:b w:val="false"/>
                <w:bCs w:val="false"/>
                <w:color w:val="000000"/>
                <w:sz w:val="20"/>
                <w:szCs w:val="20"/>
              </w:rPr>
              <w:t xml:space="preserve">Fairness dashboard reports demographic parity / disparate impact ratio for at least one protected-adjacent grouping (e.g., income band) by Milestone 6.</w:t>
            </w:r>
          </w:p>
        </w:tc>
      </w:tr>
    </w:tbl>
    <w:p>
      <w:pPr>
        <w:pStyle w:val="Heading1"/>
        <w:spacing w:after="200" w:before="400"/>
      </w:pPr>
      <w:r>
        <w:rPr>
          <w:b/>
          <w:bCs/>
          <w:color w:val="1F3864"/>
        </w:rPr>
        <w:t xml:space="preserve">5. Non-Goals / Out of Scope</w:t>
      </w:r>
    </w:p>
    <w:p>
      <w:pPr>
        <w:spacing w:after="120"/>
      </w:pPr>
      <w:r>
        <w:t xml:space="preserve">The following are explicitly out of scope for all versions covered by this PRD:</w:t>
      </w:r>
    </w:p>
    <w:p>
      <w:pPr>
        <w:pStyle w:val="ListParagraph"/>
        <w:numPr>
          <w:ilvl w:val="0"/>
          <w:numId w:val="2"/>
        </w:numPr>
        <w:spacing w:after="60"/>
      </w:pPr>
      <w:r>
        <w:t xml:space="preserve">Execute real stock trades.</w:t>
      </w:r>
    </w:p>
    <w:p>
      <w:pPr>
        <w:pStyle w:val="ListParagraph"/>
        <w:numPr>
          <w:ilvl w:val="0"/>
          <w:numId w:val="2"/>
        </w:numPr>
        <w:spacing w:after="60"/>
      </w:pPr>
      <w:r>
        <w:t xml:space="preserve">Connect directly to a user's bank account or brokerage account.</w:t>
      </w:r>
    </w:p>
    <w:p>
      <w:pPr>
        <w:pStyle w:val="ListParagraph"/>
        <w:numPr>
          <w:ilvl w:val="0"/>
          <w:numId w:val="2"/>
        </w:numPr>
        <w:spacing w:after="60"/>
      </w:pPr>
      <w:r>
        <w:t xml:space="preserve">Handle, custody, or transmit real money.</w:t>
      </w:r>
    </w:p>
    <w:p>
      <w:pPr>
        <w:pStyle w:val="ListParagraph"/>
        <w:numPr>
          <w:ilvl w:val="0"/>
          <w:numId w:val="2"/>
        </w:numPr>
        <w:spacing w:after="60"/>
      </w:pPr>
      <w:r>
        <w:t xml:space="preserve">Guarantee investment returns.</w:t>
      </w:r>
    </w:p>
    <w:p>
      <w:pPr>
        <w:pStyle w:val="ListParagraph"/>
        <w:numPr>
          <w:ilvl w:val="0"/>
          <w:numId w:val="2"/>
        </w:numPr>
        <w:spacing w:after="60"/>
      </w:pPr>
      <w:r>
        <w:t xml:space="preserve">Act as a licensed financial advisor or provide regulated financial advice.</w:t>
      </w:r>
    </w:p>
    <w:p>
      <w:pPr>
        <w:pStyle w:val="ListParagraph"/>
        <w:numPr>
          <w:ilvl w:val="0"/>
          <w:numId w:val="2"/>
        </w:numPr>
        <w:spacing w:after="60"/>
      </w:pPr>
      <w:r>
        <w:t xml:space="preserve">Automatically trade securities on a user's behalf.</w:t>
      </w:r>
    </w:p>
    <w:p>
      <w:pPr>
        <w:pStyle w:val="ListParagraph"/>
        <w:numPr>
          <w:ilvl w:val="0"/>
          <w:numId w:val="2"/>
        </w:numPr>
        <w:spacing w:after="60"/>
      </w:pPr>
      <w:r>
        <w:t xml:space="preserve">Provide guaranteed buy/sell signals.</w:t>
      </w:r>
    </w:p>
    <w:p>
      <w:pPr>
        <w:pStyle w:val="ListParagraph"/>
        <w:numPr>
          <w:ilvl w:val="0"/>
          <w:numId w:val="2"/>
        </w:numPr>
        <w:spacing w:after="60"/>
      </w:pPr>
      <w:r>
        <w:t xml:space="preserve">Support currencies, exchanges, or asset classes outside the initial supported universe defined in Section 11 (Database Requirements) without a scoped follow-up.</w:t>
      </w:r>
    </w:p>
    <w:p>
      <w:pPr>
        <w:spacing w:after="120"/>
      </w:pPr>
      <w:r>
        <w:t xml:space="preserve">The system is positioned as a financial decision-support and educational/research platform, not a regulated advisory service. See Section 17 (Legal &amp; Compliance) for the disclaimers this implies.</w:t>
      </w:r>
    </w:p>
    <w:p>
      <w:r>
        <w:br w:type="page"/>
      </w:r>
    </w:p>
    <w:p>
      <w:pPr>
        <w:pStyle w:val="Heading1"/>
        <w:spacing w:after="200" w:before="400"/>
      </w:pPr>
      <w:r>
        <w:rPr>
          <w:b/>
          <w:bCs/>
          <w:color w:val="1F3864"/>
        </w:rPr>
        <w:t xml:space="preserve">6. Target Users &amp; Personas</w:t>
      </w:r>
    </w:p>
    <w:p>
      <w:pPr>
        <w:pStyle w:val="Heading2"/>
        <w:spacing w:after="140" w:before="280"/>
      </w:pPr>
      <w:r>
        <w:rPr>
          <w:b/>
          <w:bCs/>
          <w:color w:val="2E74B5"/>
        </w:rPr>
        <w:t xml:space="preserve">6.1 Retail Investor</w:t>
      </w:r>
    </w:p>
    <w:p>
      <w:pPr>
        <w:spacing w:after="120"/>
      </w:pPr>
      <w:r>
        <w:t xml:space="preserve">A user who wants to understand their risk profile, market conditions, potential portfolio allocation, portfolio risk, and why a recommendation was generated.</w:t>
      </w:r>
    </w:p>
    <w:p>
      <w:pPr>
        <w:pStyle w:val="Heading3"/>
        <w:spacing w:after="100" w:before="200"/>
      </w:pPr>
      <w:r>
        <w:rPr>
          <w:b/>
          <w:bCs/>
          <w:color w:val="333333"/>
        </w:rPr>
        <w:t xml:space="preserve">User Story</w:t>
      </w:r>
    </w:p>
    <w:p>
      <w:pPr>
        <w:pStyle w:val="ListParagraph"/>
        <w:numPr>
          <w:ilvl w:val="0"/>
          <w:numId w:val="2"/>
        </w:numPr>
        <w:spacing w:after="60"/>
      </w:pPr>
      <w:r>
        <w:t xml:space="preserve">As a retail investor, I want to enter my financial profile once and receive a risk category and a portfolio recommendation with plain-language reasoning, so I can make more informed investment decisions without needing a finance background.</w:t>
      </w:r>
    </w:p>
    <w:p>
      <w:pPr>
        <w:pStyle w:val="Heading2"/>
        <w:spacing w:after="140" w:before="280"/>
      </w:pPr>
      <w:r>
        <w:rPr>
          <w:b/>
          <w:bCs/>
          <w:color w:val="2E74B5"/>
        </w:rPr>
        <w:t xml:space="preserve">6.2 Student / Researcher</w:t>
      </w:r>
    </w:p>
    <w:p>
      <w:pPr>
        <w:spacing w:after="120"/>
      </w:pPr>
      <w:r>
        <w:t xml:space="preserve">A user studying machine learning, financial analytics, portfolio optimization, explainable AI, or algorithmic fairness.</w:t>
      </w:r>
    </w:p>
    <w:p>
      <w:pPr>
        <w:pStyle w:val="Heading3"/>
        <w:spacing w:after="100" w:before="200"/>
      </w:pPr>
      <w:r>
        <w:rPr>
          <w:b/>
          <w:bCs/>
          <w:color w:val="333333"/>
        </w:rPr>
        <w:t xml:space="preserve">User Story</w:t>
      </w:r>
    </w:p>
    <w:p>
      <w:pPr>
        <w:pStyle w:val="ListParagraph"/>
        <w:numPr>
          <w:ilvl w:val="0"/>
          <w:numId w:val="2"/>
        </w:numPr>
        <w:spacing w:after="60"/>
      </w:pPr>
      <w:r>
        <w:t xml:space="preserve">As a student/researcher, I want to inspect model inputs, outputs, evaluation metrics, and fairness reports, so I can study how the system arrives at its recommendations.</w:t>
      </w:r>
    </w:p>
    <w:p>
      <w:pPr>
        <w:pStyle w:val="Heading2"/>
        <w:spacing w:after="140" w:before="280"/>
      </w:pPr>
      <w:r>
        <w:rPr>
          <w:b/>
          <w:bCs/>
          <w:color w:val="2E74B5"/>
        </w:rPr>
        <w:t xml:space="preserve">6.3 Financial Advisor — Future Persona</w:t>
      </w:r>
    </w:p>
    <w:p>
      <w:pPr>
        <w:spacing w:after="120"/>
      </w:pPr>
      <w:r>
        <w:t xml:space="preserve">A future user who could analyze clients, compare portfolios, generate financial insights, and explain recommendations. Not built in the MVP; informs API and data-model extensibility only.</w:t>
      </w:r>
    </w:p>
    <w:p>
      <w:pPr>
        <w:pStyle w:val="Heading1"/>
        <w:spacing w:after="200" w:before="400"/>
      </w:pPr>
      <w:r>
        <w:rPr>
          <w:b/>
          <w:bCs/>
          <w:color w:val="1F3864"/>
        </w:rPr>
        <w:t xml:space="preserve">7. Assumptions, Constraints &amp; Dependencies</w:t>
      </w:r>
    </w:p>
    <w:p>
      <w:pPr>
        <w:pStyle w:val="Heading2"/>
        <w:spacing w:after="140" w:before="280"/>
      </w:pPr>
      <w:r>
        <w:rPr>
          <w:b/>
          <w:bCs/>
          <w:color w:val="2E74B5"/>
        </w:rPr>
        <w:t xml:space="preserve">7.1 Assumptions</w:t>
      </w:r>
    </w:p>
    <w:p>
      <w:pPr>
        <w:pStyle w:val="ListParagraph"/>
        <w:numPr>
          <w:ilvl w:val="0"/>
          <w:numId w:val="2"/>
        </w:numPr>
        <w:spacing w:after="60"/>
      </w:pPr>
      <w:r>
        <w:t xml:space="preserve">Users provide honest, self-reported financial profile data; the system does not verify income or savings against external records.</w:t>
      </w:r>
    </w:p>
    <w:p>
      <w:pPr>
        <w:pStyle w:val="ListParagraph"/>
        <w:numPr>
          <w:ilvl w:val="0"/>
          <w:numId w:val="2"/>
        </w:numPr>
        <w:spacing w:after="60"/>
      </w:pPr>
      <w:r>
        <w:t xml:space="preserve">Historical market data is a reasonable, though imperfect, basis for short-to-medium-term prediction.</w:t>
      </w:r>
    </w:p>
    <w:p>
      <w:pPr>
        <w:pStyle w:val="ListParagraph"/>
        <w:numPr>
          <w:ilvl w:val="0"/>
          <w:numId w:val="2"/>
        </w:numPr>
        <w:spacing w:after="60"/>
      </w:pPr>
      <w:r>
        <w:t xml:space="preserve">Yahoo Finance and FRED data are available at acceptable latency and licensing terms for a non-commercial / research-classified deployment (see 7.3).</w:t>
      </w:r>
    </w:p>
    <w:p>
      <w:pPr>
        <w:pStyle w:val="ListParagraph"/>
        <w:numPr>
          <w:ilvl w:val="0"/>
          <w:numId w:val="2"/>
        </w:numPr>
        <w:spacing w:after="60"/>
      </w:pPr>
      <w:r>
        <w:t xml:space="preserve">Users have basic digital literacy to complete an onboarding flow and read a dashboard.</w:t>
      </w:r>
    </w:p>
    <w:p>
      <w:pPr>
        <w:pStyle w:val="Heading2"/>
        <w:spacing w:after="140" w:before="280"/>
      </w:pPr>
      <w:r>
        <w:rPr>
          <w:b/>
          <w:bCs/>
          <w:color w:val="2E74B5"/>
        </w:rPr>
        <w:t xml:space="preserve">7.2 Constraints</w:t>
      </w:r>
    </w:p>
    <w:p>
      <w:pPr>
        <w:pStyle w:val="ListParagraph"/>
        <w:numPr>
          <w:ilvl w:val="0"/>
          <w:numId w:val="2"/>
        </w:numPr>
        <w:spacing w:after="60"/>
      </w:pPr>
      <w:r>
        <w:t xml:space="preserve">Single-developer or small-team delivery model — scope and milestones in Sections 20–22 are sized accordingly.</w:t>
      </w:r>
    </w:p>
    <w:p>
      <w:pPr>
        <w:pStyle w:val="ListParagraph"/>
        <w:numPr>
          <w:ilvl w:val="0"/>
          <w:numId w:val="2"/>
        </w:numPr>
        <w:spacing w:after="60"/>
      </w:pPr>
      <w:r>
        <w:t xml:space="preserve">No real brokerage integration in this phase; all portfolio actions are simulated/informational.</w:t>
      </w:r>
    </w:p>
    <w:p>
      <w:pPr>
        <w:pStyle w:val="ListParagraph"/>
        <w:numPr>
          <w:ilvl w:val="0"/>
          <w:numId w:val="2"/>
        </w:numPr>
        <w:spacing w:after="60"/>
      </w:pPr>
      <w:r>
        <w:t xml:space="preserve">Model training compute is assumed to be a single workstation or a modest cloud instance, not distributed infrastructure.</w:t>
      </w:r>
    </w:p>
    <w:p>
      <w:pPr>
        <w:pStyle w:val="Heading2"/>
        <w:spacing w:after="140" w:before="280"/>
      </w:pPr>
      <w:r>
        <w:rPr>
          <w:b/>
          <w:bCs/>
          <w:color w:val="2E74B5"/>
        </w:rPr>
        <w:t xml:space="preserve">7.3 External Dependencies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2900"/>
        <w:gridCol w:w="3550"/>
      </w:tblGrid>
      <w:tr>
        <w:trPr>
          <w:tblHeader/>
        </w:trPr>
        <w:tc>
          <w:tcPr>
            <w:tcW w:type="dxa" w:w="29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Dependency</w:t>
            </w:r>
          </w:p>
        </w:tc>
        <w:tc>
          <w:tcPr>
            <w:tcW w:type="dxa" w:w="29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Purpose</w:t>
            </w:r>
          </w:p>
        </w:tc>
        <w:tc>
          <w:tcPr>
            <w:tcW w:type="dxa" w:w="35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Risk if Unavailable</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Yahoo Finance data (via yfinance or equivalent)</w:t>
            </w:r>
          </w:p>
        </w:tc>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Historical OHLCV market data</w:t>
            </w:r>
          </w:p>
        </w:tc>
        <w:tc>
          <w:tcPr>
            <w:tcW w:type="dxa" w:w="3550"/>
            <w:tcMar>
              <w:top w:type="dxa" w:w="80"/>
              <w:left w:type="dxa" w:w="100"/>
              <w:bottom w:type="dxa" w:w="80"/>
              <w:right w:type="dxa" w:w="100"/>
            </w:tcMar>
            <w:vAlign w:val="center"/>
          </w:tcPr>
          <w:p>
            <w:pPr>
              <w:spacing w:after="0"/>
              <w:jc w:val="left"/>
            </w:pPr>
            <w:r>
              <w:rPr>
                <w:b w:val="false"/>
                <w:bCs w:val="false"/>
                <w:color w:val="000000"/>
                <w:sz w:val="20"/>
                <w:szCs w:val="20"/>
              </w:rPr>
              <w:t xml:space="preserve">Unofficial API; can change or rate-limit without notice. Mitigation: abstract behind a data-provider interface (Section 9) so a paid provider can be swapped in.</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FRED API</w:t>
            </w:r>
          </w:p>
        </w:tc>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Macroeconomic indicators (inflation, interest rate, GDP, unemployment, exchange rate)</w:t>
            </w:r>
          </w:p>
        </w:tc>
        <w:tc>
          <w:tcPr>
            <w:tcW w:type="dxa" w:w="35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Official, stable, free-tier API with published rate limits; low risk.</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PostgreSQL</w:t>
            </w:r>
          </w:p>
        </w:tc>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System of record</w:t>
            </w:r>
          </w:p>
        </w:tc>
        <w:tc>
          <w:tcPr>
            <w:tcW w:type="dxa" w:w="3550"/>
            <w:tcMar>
              <w:top w:type="dxa" w:w="80"/>
              <w:left w:type="dxa" w:w="100"/>
              <w:bottom w:type="dxa" w:w="80"/>
              <w:right w:type="dxa" w:w="100"/>
            </w:tcMar>
            <w:vAlign w:val="center"/>
          </w:tcPr>
          <w:p>
            <w:pPr>
              <w:spacing w:after="0"/>
              <w:jc w:val="left"/>
            </w:pPr>
            <w:r>
              <w:rPr>
                <w:b w:val="false"/>
                <w:bCs w:val="false"/>
                <w:color w:val="000000"/>
                <w:sz w:val="20"/>
                <w:szCs w:val="20"/>
              </w:rPr>
              <w:t xml:space="preserve">Self-hosted or managed instance; standard operational risk only.</w:t>
            </w:r>
          </w:p>
        </w:tc>
      </w:tr>
    </w:tbl>
    <w:p>
      <w:pPr>
        <w:pStyle w:val="Heading1"/>
        <w:spacing w:after="200" w:before="400"/>
      </w:pPr>
      <w:r>
        <w:rPr>
          <w:b/>
          <w:bCs/>
          <w:color w:val="1F3864"/>
        </w:rPr>
        <w:t xml:space="preserve">8. Core User Journey</w:t>
      </w:r>
    </w:p>
    <w:p>
      <w:pPr>
        <w:spacing w:after="120"/>
      </w:pPr>
      <w:r>
        <w:t xml:space="preserve">Register → Create Financial Profile → Risk Assessment → Market Analysis → Market Prediction → Portfolio Optimization → Personalized Recommendation → Explain Recommendation → Dashboard</w:t>
      </w:r>
    </w:p>
    <w:tbl>
      <w:tblPr>
        <w:tblW w:type="dxa" w:w="9350"/>
        <w:tblBorders>
          <w:top w:val="single" w:color="2E74B5" w:sz="4"/>
          <w:left w:val="single" w:color="2E74B5" w:sz="4"/>
          <w:bottom w:val="single" w:color="2E74B5" w:sz="4"/>
          <w:right w:val="single" w:color="2E74B5" w:sz="4"/>
          <w:insideH w:val="none"/>
          <w:insideV w:val="none"/>
        </w:tblBorders>
      </w:tblPr>
      <w:tblGrid>
        <w:gridCol w:w="100"/>
      </w:tblGrid>
      <w:tr>
        <w:tc>
          <w:tcPr>
            <w:tcW w:type="dxa" w:w="9350"/>
            <w:shd w:fill="EAF1FA" w:color="auto" w:val="clear"/>
            <w:tcMar>
              <w:top w:type="dxa" w:w="120"/>
              <w:left w:type="dxa" w:w="160"/>
              <w:bottom w:type="dxa" w:w="120"/>
              <w:right w:type="dxa" w:w="160"/>
            </w:tcMar>
          </w:tcPr>
          <w:p>
            <w:pPr>
              <w:spacing w:after="60"/>
            </w:pPr>
            <w:r>
              <w:rPr>
                <w:b/>
                <w:bCs/>
                <w:color w:val="1F3864"/>
              </w:rPr>
              <w:t xml:space="preserve">Journey note</w:t>
            </w:r>
          </w:p>
          <w:p>
            <w:r>
              <w:t xml:space="preserve">Risk Assessment and Market Analysis/Prediction can run in parallel once the profile is submitted and the asset universe is loaded; both must complete before Portfolio Optimization starts. See Section 10 (ML Architecture) for the data flow.</w:t>
            </w:r>
          </w:p>
        </w:tc>
      </w:tr>
    </w:tbl>
    <w:p>
      <w:r>
        <w:br w:type="page"/>
      </w:r>
    </w:p>
    <w:p>
      <w:pPr>
        <w:pStyle w:val="Heading1"/>
        <w:spacing w:after="200" w:before="400"/>
      </w:pPr>
      <w:r>
        <w:rPr>
          <w:b/>
          <w:bCs/>
          <w:color w:val="1F3864"/>
        </w:rPr>
        <w:t xml:space="preserve">9. Functional Requirements</w:t>
      </w:r>
    </w:p>
    <w:p>
      <w:pPr>
        <w:spacing w:after="120"/>
      </w:pPr>
      <w:r>
        <w:t xml:space="preserve">Each requirement now includes a priority (Must / Should / Could, per Section 20 MVP scope) and explicit acceptance criteria so it can be pulled directly into a sprint backlog.</w:t>
      </w:r>
    </w:p>
    <w:p>
      <w:pPr>
        <w:pStyle w:val="Heading2"/>
        <w:spacing w:after="140" w:before="280"/>
      </w:pPr>
      <w:r>
        <w:rPr>
          <w:b/>
          <w:bCs/>
          <w:color w:val="2E74B5"/>
        </w:rPr>
        <w:t xml:space="preserve">FR-01 — User Registration  [Must Have]</w:t>
      </w:r>
    </w:p>
    <w:p>
      <w:pPr>
        <w:pStyle w:val="ListParagraph"/>
        <w:numPr>
          <w:ilvl w:val="0"/>
          <w:numId w:val="2"/>
        </w:numPr>
        <w:spacing w:after="60"/>
      </w:pPr>
      <w:r>
        <w:t xml:space="preserve">Users can create an account, log in, log out, and manage their profile.</w:t>
      </w:r>
    </w:p>
    <w:p>
      <w:pPr>
        <w:pStyle w:val="ListParagraph"/>
        <w:numPr>
          <w:ilvl w:val="0"/>
          <w:numId w:val="2"/>
        </w:numPr>
        <w:spacing w:after="60"/>
      </w:pPr>
      <w:r>
        <w:t xml:space="preserve">Email must be unique.</w:t>
      </w:r>
    </w:p>
    <w:p>
      <w:pPr>
        <w:pStyle w:val="ListParagraph"/>
        <w:numPr>
          <w:ilvl w:val="0"/>
          <w:numId w:val="2"/>
        </w:numPr>
        <w:spacing w:after="60"/>
      </w:pPr>
      <w:r>
        <w:t xml:space="preserve">Passwords must be securely stored (hashed, never in plaintext or logs).</w:t>
      </w:r>
    </w:p>
    <w:p>
      <w:pPr>
        <w:pStyle w:val="ListParagraph"/>
        <w:numPr>
          <w:ilvl w:val="0"/>
          <w:numId w:val="2"/>
        </w:numPr>
        <w:spacing w:after="60"/>
      </w:pPr>
      <w:r>
        <w:t xml:space="preserve">Authenticated APIs must reject unauthenticated requests.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 new email, when a user registers, then the account is created and a hashed password is stored (never plaintext).</w:t>
      </w:r>
    </w:p>
    <w:p>
      <w:pPr>
        <w:pStyle w:val="ListParagraph"/>
        <w:numPr>
          <w:ilvl w:val="0"/>
          <w:numId w:val="2"/>
        </w:numPr>
        <w:spacing w:after="60"/>
      </w:pPr>
      <w:r>
        <w:t xml:space="preserve">Given a duplicate email, when a user registers, then the API returns HTTP 409 with a clear error message.</w:t>
      </w:r>
    </w:p>
    <w:p>
      <w:pPr>
        <w:pStyle w:val="ListParagraph"/>
        <w:numPr>
          <w:ilvl w:val="0"/>
          <w:numId w:val="2"/>
        </w:numPr>
        <w:spacing w:after="60"/>
      </w:pPr>
      <w:r>
        <w:t xml:space="preserve">Given valid credentials, when a user logs in, then a JWT access token (and refresh token) is issued.</w:t>
      </w:r>
    </w:p>
    <w:p>
      <w:pPr>
        <w:pStyle w:val="ListParagraph"/>
        <w:numPr>
          <w:ilvl w:val="0"/>
          <w:numId w:val="2"/>
        </w:numPr>
        <w:spacing w:after="60"/>
      </w:pPr>
      <w:r>
        <w:t xml:space="preserve">Given an expired or missing token, when any protected endpoint is called, then the API returns HTTP 401.</w:t>
      </w:r>
    </w:p>
    <w:p>
      <w:pPr>
        <w:pStyle w:val="Heading2"/>
        <w:spacing w:after="140" w:before="280"/>
      </w:pPr>
      <w:r>
        <w:rPr>
          <w:b/>
          <w:bCs/>
          <w:color w:val="2E74B5"/>
        </w:rPr>
        <w:t xml:space="preserve">FR-02 — Financial Profile  [Must Have]</w:t>
      </w:r>
    </w:p>
    <w:p>
      <w:pPr>
        <w:pStyle w:val="ListParagraph"/>
        <w:numPr>
          <w:ilvl w:val="0"/>
          <w:numId w:val="2"/>
        </w:numPr>
        <w:spacing w:after="60"/>
      </w:pPr>
      <w:r>
        <w:t xml:space="preserve">Collect age, annual income, savings, investment experience, risk appetite, investment goal, investment horizon, and financial literacy.</w:t>
      </w:r>
    </w:p>
    <w:p>
      <w:pPr>
        <w:pStyle w:val="ListParagraph"/>
        <w:numPr>
          <w:ilvl w:val="0"/>
          <w:numId w:val="2"/>
        </w:numPr>
        <w:spacing w:after="60"/>
      </w:pPr>
      <w:r>
        <w:t xml:space="preserve">Initial investment goals: Retirement, Growth, Wealth Creation.</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an incomplete profile, when a user attempts to request a risk assessment, then the system blocks the request and lists the missing fields.</w:t>
      </w:r>
    </w:p>
    <w:p>
      <w:pPr>
        <w:pStyle w:val="ListParagraph"/>
        <w:numPr>
          <w:ilvl w:val="0"/>
          <w:numId w:val="2"/>
        </w:numPr>
        <w:spacing w:after="60"/>
      </w:pPr>
      <w:r>
        <w:t xml:space="preserve">Given a submitted profile, when values are out of allowed ranges (e.g., negative income, age &lt;18), then the API returns HTTP 422 with field-level validation errors.</w:t>
      </w:r>
    </w:p>
    <w:p>
      <w:pPr>
        <w:pStyle w:val="Heading2"/>
        <w:spacing w:after="140" w:before="280"/>
      </w:pPr>
      <w:r>
        <w:rPr>
          <w:b/>
          <w:bCs/>
          <w:color w:val="2E74B5"/>
        </w:rPr>
        <w:t xml:space="preserve">FR-03 — Risk Assessment  [Must Have]</w:t>
      </w:r>
    </w:p>
    <w:p>
      <w:pPr>
        <w:pStyle w:val="ListParagraph"/>
        <w:numPr>
          <w:ilvl w:val="0"/>
          <w:numId w:val="2"/>
        </w:numPr>
        <w:spacing w:after="60"/>
      </w:pPr>
      <w:r>
        <w:t xml:space="preserve">Process the user profile through a risk-classification model.</w:t>
      </w:r>
    </w:p>
    <w:p>
      <w:pPr>
        <w:pStyle w:val="ListParagraph"/>
        <w:numPr>
          <w:ilvl w:val="0"/>
          <w:numId w:val="2"/>
        </w:numPr>
        <w:spacing w:after="60"/>
      </w:pPr>
      <w:r>
        <w:t xml:space="preserve">Return a risk score and risk category.</w:t>
      </w:r>
    </w:p>
    <w:p>
      <w:pPr>
        <w:pStyle w:val="ListParagraph"/>
        <w:numPr>
          <w:ilvl w:val="0"/>
          <w:numId w:val="2"/>
        </w:numPr>
        <w:spacing w:after="60"/>
      </w:pPr>
      <w:r>
        <w:t xml:space="preserve">Show the main factors influencing the classification.</w:t>
      </w:r>
    </w:p>
    <w:p>
      <w:pPr>
        <w:pStyle w:val="ListParagraph"/>
        <w:numPr>
          <w:ilvl w:val="0"/>
          <w:numId w:val="2"/>
        </w:numPr>
        <w:spacing w:after="60"/>
      </w:pPr>
      <w:r>
        <w:t xml:space="preserve">Initial categories: LOW, MEDIUM, HIGH.</w:t>
      </w:r>
    </w:p>
    <w:p>
      <w:pPr>
        <w:pStyle w:val="ListParagraph"/>
        <w:numPr>
          <w:ilvl w:val="0"/>
          <w:numId w:val="2"/>
        </w:numPr>
        <w:spacing w:after="60"/>
      </w:pPr>
      <w:r>
        <w:t xml:space="preserve">Initial model: Random Forest.</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 complete financial profile, when risk assessment runs, then the response includes a category (LOW/MEDIUM/HIGH), a numeric score, and the top-3 contributing factors.</w:t>
      </w:r>
    </w:p>
    <w:p>
      <w:pPr>
        <w:pStyle w:val="ListParagraph"/>
        <w:numPr>
          <w:ilvl w:val="0"/>
          <w:numId w:val="2"/>
        </w:numPr>
        <w:spacing w:after="60"/>
      </w:pPr>
      <w:r>
        <w:t xml:space="preserve">Given the same profile submitted twice without change, when risk assessment runs again, then the result is deterministic (same category and score, within floating-point tolerance).</w:t>
      </w:r>
    </w:p>
    <w:p>
      <w:pPr>
        <w:pStyle w:val="Heading2"/>
        <w:spacing w:after="140" w:before="280"/>
      </w:pPr>
      <w:r>
        <w:rPr>
          <w:b/>
          <w:bCs/>
          <w:color w:val="2E74B5"/>
        </w:rPr>
        <w:t xml:space="preserve">FR-04 — Market Data Collection  [Must Have]</w:t>
      </w:r>
    </w:p>
    <w:p>
      <w:pPr>
        <w:pStyle w:val="ListParagraph"/>
        <w:numPr>
          <w:ilvl w:val="0"/>
          <w:numId w:val="2"/>
        </w:numPr>
        <w:spacing w:after="60"/>
      </w:pPr>
      <w:r>
        <w:t xml:space="preserve">Ingest historical market data containing Date, Open, High, Low, Close, Adjusted Close, and Volume.</w:t>
      </w:r>
    </w:p>
    <w:p>
      <w:pPr>
        <w:pStyle w:val="ListParagraph"/>
        <w:numPr>
          <w:ilvl w:val="0"/>
          <w:numId w:val="2"/>
        </w:numPr>
        <w:spacing w:after="60"/>
      </w:pPr>
      <w:r>
        <w:t xml:space="preserve">Initial source: Yahoo Finance (via an abstracted data-provider interface — see Section 7.3 and Section 9 architecture).</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the daily ingestion job runs, when it completes, then each tracked symbol has a market_data row for the latest trading day (or a logged, alertable failure).</w:t>
      </w:r>
    </w:p>
    <w:p>
      <w:pPr>
        <w:pStyle w:val="ListParagraph"/>
        <w:numPr>
          <w:ilvl w:val="0"/>
          <w:numId w:val="2"/>
        </w:numPr>
        <w:spacing w:after="60"/>
      </w:pPr>
      <w:r>
        <w:t xml:space="preserve">Given a data-provider outage, when ingestion fails, then the system retries with backoff and surfaces a health-check alert rather than silently skipping the day.</w:t>
      </w:r>
    </w:p>
    <w:p>
      <w:pPr>
        <w:pStyle w:val="Heading2"/>
        <w:spacing w:after="140" w:before="280"/>
      </w:pPr>
      <w:r>
        <w:rPr>
          <w:b/>
          <w:bCs/>
          <w:color w:val="2E74B5"/>
        </w:rPr>
        <w:t xml:space="preserve">FR-05 — Economic Data Collection  [Must Have]</w:t>
      </w:r>
    </w:p>
    <w:p>
      <w:pPr>
        <w:pStyle w:val="ListParagraph"/>
        <w:numPr>
          <w:ilvl w:val="0"/>
          <w:numId w:val="2"/>
        </w:numPr>
        <w:spacing w:after="60"/>
      </w:pPr>
      <w:r>
        <w:t xml:space="preserve">Support Inflation, Interest Rate, GDP, Unemployment, and Exchange Rate.</w:t>
      </w:r>
    </w:p>
    <w:p>
      <w:pPr>
        <w:pStyle w:val="ListParagraph"/>
        <w:numPr>
          <w:ilvl w:val="0"/>
          <w:numId w:val="2"/>
        </w:numPr>
        <w:spacing w:after="60"/>
      </w:pPr>
      <w:r>
        <w:t xml:space="preserve">Initial source: FRED.</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FRED publishes a new value for a tracked series, when the scheduled sync runs, then the new value is stored with its as-of date within 24 hours of publication.</w:t>
      </w:r>
    </w:p>
    <w:p>
      <w:pPr>
        <w:pStyle w:val="Heading2"/>
        <w:spacing w:after="140" w:before="280"/>
      </w:pPr>
      <w:r>
        <w:rPr>
          <w:b/>
          <w:bCs/>
          <w:color w:val="2E74B5"/>
        </w:rPr>
        <w:t xml:space="preserve">FR-06 — Data Processing  [Must Have]</w:t>
      </w:r>
    </w:p>
    <w:p>
      <w:pPr>
        <w:pStyle w:val="ListParagraph"/>
        <w:numPr>
          <w:ilvl w:val="0"/>
          <w:numId w:val="2"/>
        </w:numPr>
        <w:spacing w:after="60"/>
      </w:pPr>
      <w:r>
        <w:t xml:space="preserve">Handle missing values.</w:t>
      </w:r>
    </w:p>
    <w:p>
      <w:pPr>
        <w:pStyle w:val="ListParagraph"/>
        <w:numPr>
          <w:ilvl w:val="0"/>
          <w:numId w:val="2"/>
        </w:numPr>
        <w:spacing w:after="60"/>
      </w:pPr>
      <w:r>
        <w:t xml:space="preserve">Remove duplicate records.</w:t>
      </w:r>
    </w:p>
    <w:p>
      <w:pPr>
        <w:pStyle w:val="ListParagraph"/>
        <w:numPr>
          <w:ilvl w:val="0"/>
          <w:numId w:val="2"/>
        </w:numPr>
        <w:spacing w:after="60"/>
      </w:pPr>
      <w:r>
        <w:t xml:space="preserve">Handle outliers where appropriate.</w:t>
      </w:r>
    </w:p>
    <w:p>
      <w:pPr>
        <w:pStyle w:val="ListParagraph"/>
        <w:numPr>
          <w:ilvl w:val="0"/>
          <w:numId w:val="2"/>
        </w:numPr>
        <w:spacing w:after="60"/>
      </w:pPr>
      <w:r>
        <w:t xml:space="preserve">Normalize numerical features.</w:t>
      </w:r>
    </w:p>
    <w:p>
      <w:pPr>
        <w:pStyle w:val="ListParagraph"/>
        <w:numPr>
          <w:ilvl w:val="0"/>
          <w:numId w:val="2"/>
        </w:numPr>
        <w:spacing w:after="60"/>
      </w:pPr>
      <w:r>
        <w:t xml:space="preserve">Encode categorical variables.</w:t>
      </w:r>
    </w:p>
    <w:p>
      <w:pPr>
        <w:pStyle w:val="ListParagraph"/>
        <w:numPr>
          <w:ilvl w:val="0"/>
          <w:numId w:val="2"/>
        </w:numPr>
        <w:spacing w:after="60"/>
      </w:pPr>
      <w:r>
        <w:t xml:space="preserve">Generate technical indicators.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raw ingested data, when the processing pipeline runs, then output data has zero nulls in required model-input columns and zero duplicate (asset_id, date) rows.</w:t>
      </w:r>
    </w:p>
    <w:p>
      <w:pPr>
        <w:pStyle w:val="ListParagraph"/>
        <w:numPr>
          <w:ilvl w:val="0"/>
          <w:numId w:val="2"/>
        </w:numPr>
        <w:spacing w:after="60"/>
      </w:pPr>
      <w:r>
        <w:t xml:space="preserve">Given the pipeline processes a new batch, then a data-quality report (row counts, null rate, outlier count) is logged for audit.</w:t>
      </w:r>
    </w:p>
    <w:p>
      <w:pPr>
        <w:pStyle w:val="Heading2"/>
        <w:spacing w:after="140" w:before="280"/>
      </w:pPr>
      <w:r>
        <w:rPr>
          <w:b/>
          <w:bCs/>
          <w:color w:val="2E74B5"/>
        </w:rPr>
        <w:t xml:space="preserve">FR-07 — Feature Engineering  [Must Have]</w:t>
      </w:r>
    </w:p>
    <w:p>
      <w:pPr>
        <w:pStyle w:val="ListParagraph"/>
        <w:numPr>
          <w:ilvl w:val="0"/>
          <w:numId w:val="2"/>
        </w:numPr>
        <w:spacing w:after="60"/>
      </w:pPr>
      <w:r>
        <w:t xml:space="preserve">Generate Moving Average, RSI, MACD, Bollinger Bands, Volatility, Momentum, Lag Variables, and Correlation features.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processed market data, when feature engineering runs, then all listed feature columns are present and within expected numeric ranges (e.g., RSI in [0,100]).</w:t>
      </w:r>
    </w:p>
    <w:p>
      <w:pPr>
        <w:pStyle w:val="Heading2"/>
        <w:spacing w:after="140" w:before="280"/>
      </w:pPr>
      <w:r>
        <w:rPr>
          <w:b/>
          <w:bCs/>
          <w:color w:val="2E74B5"/>
        </w:rPr>
        <w:t xml:space="preserve">FR-08 — Market Prediction  [Must Have]</w:t>
      </w:r>
    </w:p>
    <w:p>
      <w:pPr>
        <w:pStyle w:val="ListParagraph"/>
        <w:numPr>
          <w:ilvl w:val="0"/>
          <w:numId w:val="2"/>
        </w:numPr>
        <w:spacing w:after="60"/>
      </w:pPr>
      <w:r>
        <w:t xml:space="preserve">Use historical prices, technical indicators, and economic indicators as model inputs.</w:t>
      </w:r>
    </w:p>
    <w:p>
      <w:pPr>
        <w:pStyle w:val="ListParagraph"/>
        <w:numPr>
          <w:ilvl w:val="0"/>
          <w:numId w:val="2"/>
        </w:numPr>
        <w:spacing w:after="60"/>
      </w:pPr>
      <w:r>
        <w:t xml:space="preserve">Initial model: XGBoost.</w:t>
      </w:r>
    </w:p>
    <w:p>
      <w:pPr>
        <w:pStyle w:val="ListParagraph"/>
        <w:numPr>
          <w:ilvl w:val="0"/>
          <w:numId w:val="2"/>
        </w:numPr>
        <w:spacing w:after="60"/>
      </w:pPr>
      <w:r>
        <w:t xml:space="preserve">Output a trend/expected-return prediction and confidence where supported.</w:t>
      </w:r>
    </w:p>
    <w:p>
      <w:pPr>
        <w:pStyle w:val="ListParagraph"/>
        <w:numPr>
          <w:ilvl w:val="0"/>
          <w:numId w:val="2"/>
        </w:numPr>
        <w:spacing w:after="60"/>
      </w:pPr>
      <w:r>
        <w:t xml:space="preserve">The exact prediction horizon and target variable must be finalized during experimentation.</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 trained model and current features for a tracked asset, when a prediction is requested, then the API returns a trend/expected-return value and a model version identifier used to produce it.</w:t>
      </w:r>
    </w:p>
    <w:p>
      <w:pPr>
        <w:pStyle w:val="ListParagraph"/>
        <w:numPr>
          <w:ilvl w:val="0"/>
          <w:numId w:val="2"/>
        </w:numPr>
        <w:spacing w:after="60"/>
      </w:pPr>
      <w:r>
        <w:t xml:space="preserve">Given the model is retrained, then predictions are traceable to the specific model version (see Section 10.5 Model Lifecycle).</w:t>
      </w:r>
    </w:p>
    <w:p>
      <w:pPr>
        <w:pStyle w:val="Heading2"/>
        <w:spacing w:after="140" w:before="280"/>
      </w:pPr>
      <w:r>
        <w:rPr>
          <w:b/>
          <w:bCs/>
          <w:color w:val="2E74B5"/>
        </w:rPr>
        <w:t xml:space="preserve">FR-09 — Asset Analysis  [Must Have]</w:t>
      </w:r>
    </w:p>
    <w:p>
      <w:pPr>
        <w:pStyle w:val="ListParagraph"/>
        <w:numPr>
          <w:ilvl w:val="0"/>
          <w:numId w:val="2"/>
        </w:numPr>
        <w:spacing w:after="60"/>
      </w:pPr>
      <w:r>
        <w:t xml:space="preserve">Calculate expected return, volatility, momentum, trend, risk, and prediction confidence for supported assets.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 supported asset symbol, when asset analysis is requested, then all six listed metrics are returned or explicitly marked unavailable with a reason.</w:t>
      </w:r>
    </w:p>
    <w:p>
      <w:pPr>
        <w:pStyle w:val="Heading2"/>
        <w:spacing w:after="140" w:before="280"/>
      </w:pPr>
      <w:r>
        <w:rPr>
          <w:b/>
          <w:bCs/>
          <w:color w:val="2E74B5"/>
        </w:rPr>
        <w:t xml:space="preserve">FR-10 — Portfolio Recommendation  [Must Have]</w:t>
      </w:r>
    </w:p>
    <w:p>
      <w:pPr>
        <w:pStyle w:val="ListParagraph"/>
        <w:numPr>
          <w:ilvl w:val="0"/>
          <w:numId w:val="2"/>
        </w:numPr>
        <w:spacing w:after="60"/>
      </w:pPr>
      <w:r>
        <w:t xml:space="preserve">Combine user risk, investment goal, investment horizon, expected returns, asset risk, market predictions, and diversification.</w:t>
      </w:r>
    </w:p>
    <w:p>
      <w:pPr>
        <w:pStyle w:val="ListParagraph"/>
        <w:numPr>
          <w:ilvl w:val="0"/>
          <w:numId w:val="2"/>
        </w:numPr>
        <w:spacing w:after="60"/>
      </w:pPr>
      <w:r>
        <w:t xml:space="preserve">Generate portfolio allocations algorithmically rather than hard-coding example percentages.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 user's risk category and goal, when a portfolio is generated, then the candidate asset list and weights are produced by the optimizer (Section 9 / FR-11), not by static lookup tables.</w:t>
      </w:r>
    </w:p>
    <w:p>
      <w:pPr>
        <w:pStyle w:val="Heading2"/>
        <w:spacing w:after="140" w:before="280"/>
      </w:pPr>
      <w:r>
        <w:rPr>
          <w:b/>
          <w:bCs/>
          <w:color w:val="2E74B5"/>
        </w:rPr>
        <w:t xml:space="preserve">FR-11 — Portfolio Optimization  [Must Have]</w:t>
      </w:r>
    </w:p>
    <w:p>
      <w:pPr>
        <w:pStyle w:val="ListParagraph"/>
        <w:numPr>
          <w:ilvl w:val="0"/>
          <w:numId w:val="2"/>
        </w:numPr>
        <w:spacing w:after="60"/>
      </w:pPr>
      <w:r>
        <w:t xml:space="preserve">Maximize expected return while controlling portfolio risk.</w:t>
      </w:r>
    </w:p>
    <w:p>
      <w:pPr>
        <w:pStyle w:val="ListParagraph"/>
        <w:numPr>
          <w:ilvl w:val="0"/>
          <w:numId w:val="2"/>
        </w:numPr>
        <w:spacing w:after="60"/>
      </w:pPr>
      <w:r>
        <w:t xml:space="preserve">Portfolio weights must sum to 1.</w:t>
      </w:r>
    </w:p>
    <w:p>
      <w:pPr>
        <w:pStyle w:val="ListParagraph"/>
        <w:numPr>
          <w:ilvl w:val="0"/>
          <w:numId w:val="2"/>
        </w:numPr>
        <w:spacing w:after="60"/>
      </w:pPr>
      <w:r>
        <w:t xml:space="preserve">Support allocation constraints such as maximum weights by asset class.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any successful optimization run, then the returned weights sum to 1.0 ± 0.001 and no single position exceeds the configured maximum weight.</w:t>
      </w:r>
    </w:p>
    <w:p>
      <w:pPr>
        <w:pStyle w:val="ListParagraph"/>
        <w:numPr>
          <w:ilvl w:val="0"/>
          <w:numId w:val="2"/>
        </w:numPr>
        <w:spacing w:after="60"/>
      </w:pPr>
      <w:r>
        <w:t xml:space="preserve">Given an infeasible constraint set (e.g., max weights that can't sum to 1), then the API returns a clear error rather than a malformed portfolio.</w:t>
      </w:r>
    </w:p>
    <w:p>
      <w:pPr>
        <w:pStyle w:val="Heading2"/>
        <w:spacing w:after="140" w:before="280"/>
      </w:pPr>
      <w:r>
        <w:rPr>
          <w:b/>
          <w:bCs/>
          <w:color w:val="2E74B5"/>
        </w:rPr>
        <w:t xml:space="preserve">FR-12 — Portfolio Performance  [Should Have]</w:t>
      </w:r>
    </w:p>
    <w:p>
      <w:pPr>
        <w:pStyle w:val="ListParagraph"/>
        <w:numPr>
          <w:ilvl w:val="0"/>
          <w:numId w:val="2"/>
        </w:numPr>
        <w:spacing w:after="60"/>
      </w:pPr>
      <w:r>
        <w:t xml:space="preserve">Display portfolio value, expected return, portfolio risk, asset allocation, and historical performance.</w:t>
      </w:r>
    </w:p>
    <w:p>
      <w:pPr>
        <w:pStyle w:val="ListParagraph"/>
        <w:numPr>
          <w:ilvl w:val="0"/>
          <w:numId w:val="2"/>
        </w:numPr>
        <w:spacing w:after="60"/>
      </w:pPr>
      <w:r>
        <w:t xml:space="preserve">Use interactive charts.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an existing portfolio, when the performance view loads, then value, expected return, risk, and allocation render within the performance target in Section 16.1.</w:t>
      </w:r>
    </w:p>
    <w:p>
      <w:pPr>
        <w:pStyle w:val="Heading2"/>
        <w:spacing w:after="140" w:before="280"/>
      </w:pPr>
      <w:r>
        <w:rPr>
          <w:b/>
          <w:bCs/>
          <w:color w:val="2E74B5"/>
        </w:rPr>
        <w:t xml:space="preserve">FR-13 — Recommendation Explanation  [Should Have]</w:t>
      </w:r>
    </w:p>
    <w:p>
      <w:pPr>
        <w:pStyle w:val="ListParagraph"/>
        <w:numPr>
          <w:ilvl w:val="0"/>
          <w:numId w:val="2"/>
        </w:numPr>
        <w:spacing w:after="60"/>
      </w:pPr>
      <w:r>
        <w:t xml:space="preserve">Show human-readable reasons for each recommendation.</w:t>
      </w:r>
    </w:p>
    <w:p>
      <w:pPr>
        <w:pStyle w:val="ListParagraph"/>
        <w:numPr>
          <w:ilvl w:val="0"/>
          <w:numId w:val="2"/>
        </w:numPr>
        <w:spacing w:after="60"/>
      </w:pPr>
      <w:r>
        <w:t xml:space="preserve">Advanced implementation can use SHAP/LIME or equivalent explainability techniques.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any generated recommendation, then at least one plain-language reason is attached before it is shown to the user (baseline: rule-derived reason string; advanced: SHAP/LIME values).</w:t>
      </w:r>
    </w:p>
    <w:p>
      <w:pPr>
        <w:pStyle w:val="Heading2"/>
        <w:spacing w:after="140" w:before="280"/>
      </w:pPr>
      <w:r>
        <w:rPr>
          <w:b/>
          <w:bCs/>
          <w:color w:val="2E74B5"/>
        </w:rPr>
        <w:t xml:space="preserve">FR-14 — Fairness Dashboard  [Could Have]</w:t>
      </w:r>
    </w:p>
    <w:p>
      <w:pPr>
        <w:pStyle w:val="ListParagraph"/>
        <w:numPr>
          <w:ilvl w:val="0"/>
          <w:numId w:val="2"/>
        </w:numPr>
        <w:spacing w:after="60"/>
      </w:pPr>
      <w:r>
        <w:t xml:space="preserve">Display group-level recommendation statistics, risk-score distributions, recommendation distributions, and fairness metrics.</w:t>
      </w:r>
    </w:p>
    <w:p>
      <w:pPr>
        <w:pStyle w:val="ListParagraph"/>
        <w:numPr>
          <w:ilvl w:val="0"/>
          <w:numId w:val="2"/>
        </w:numPr>
        <w:spacing w:after="60"/>
      </w:pPr>
      <w:r>
        <w:t xml:space="preserve">Use this module for auditing and evaluation rather than using protected attributes as investment decision inputs.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aggregated, anonymized outcome data, when the fairness dashboard loads, then it reports at least one disparity metric (e.g., disparate impact ratio) across a defined grouping, with group sizes above a minimum-count threshold to avoid re-identification.</w:t>
      </w:r>
    </w:p>
    <w:p>
      <w:pPr>
        <w:pStyle w:val="Heading2"/>
        <w:spacing w:after="140" w:before="280"/>
      </w:pPr>
      <w:r>
        <w:rPr>
          <w:b/>
          <w:bCs/>
          <w:color w:val="2E74B5"/>
        </w:rPr>
        <w:t xml:space="preserve">FR-15 — Dashboard  [Must Have]</w:t>
      </w:r>
    </w:p>
    <w:p>
      <w:pPr>
        <w:pStyle w:val="ListParagraph"/>
        <w:numPr>
          <w:ilvl w:val="0"/>
          <w:numId w:val="2"/>
        </w:numPr>
        <w:spacing w:after="60"/>
      </w:pPr>
      <w:r>
        <w:t xml:space="preserve">Provide an overview of risk score, risk profile, market outlook, recommended portfolio, expected return, expected risk, and recommendation explanations.</w:t>
      </w:r>
    </w:p>
    <w:p>
      <w:pPr>
        <w:pStyle w:val="Heading3"/>
        <w:spacing w:after="100" w:before="200"/>
      </w:pPr>
      <w:r>
        <w:rPr>
          <w:b/>
          <w:bCs/>
          <w:color w:val="333333"/>
        </w:rPr>
        <w:t xml:space="preserve">Acceptance Criteria</w:t>
      </w:r>
    </w:p>
    <w:p>
      <w:pPr>
        <w:pStyle w:val="ListParagraph"/>
        <w:numPr>
          <w:ilvl w:val="0"/>
          <w:numId w:val="2"/>
        </w:numPr>
        <w:spacing w:after="60"/>
      </w:pPr>
      <w:r>
        <w:t xml:space="preserve">Given a logged-in user with a completed profile and at least one recommendation, when the dashboard loads, then all seven listed elements render without requiring additional navigation.</w:t>
      </w:r>
    </w:p>
    <w:p>
      <w:r>
        <w:br w:type="page"/>
      </w:r>
    </w:p>
    <w:p>
      <w:pPr>
        <w:pStyle w:val="Heading1"/>
        <w:spacing w:after="200" w:before="400"/>
      </w:pPr>
      <w:r>
        <w:rPr>
          <w:b/>
          <w:bCs/>
          <w:color w:val="1F3864"/>
        </w:rPr>
        <w:t xml:space="preserve">10. ML Architecture</w:t>
      </w:r>
    </w:p>
    <w:p>
      <w:pPr>
        <w:pStyle w:val="Heading2"/>
        <w:spacing w:after="140" w:before="280"/>
      </w:pPr>
      <w:r>
        <w:rPr>
          <w:b/>
          <w:bCs/>
          <w:color w:val="2E74B5"/>
        </w:rPr>
        <w:t xml:space="preserve">10.1 Risk Classification</w:t>
      </w:r>
    </w:p>
    <w:p>
      <w:pPr>
        <w:spacing w:after="120"/>
      </w:pPr>
      <w:r>
        <w:t xml:space="preserve">User Data → Preprocessing → Feature Engineering → Random Forest → Risk Class</w:t>
      </w:r>
    </w:p>
    <w:p>
      <w:pPr>
        <w:pStyle w:val="Heading2"/>
        <w:spacing w:after="140" w:before="280"/>
      </w:pPr>
      <w:r>
        <w:rPr>
          <w:b/>
          <w:bCs/>
          <w:color w:val="2E74B5"/>
        </w:rPr>
        <w:t xml:space="preserve">10.2 Market Prediction</w:t>
      </w:r>
    </w:p>
    <w:p>
      <w:pPr>
        <w:spacing w:after="120"/>
      </w:pPr>
      <w:r>
        <w:t xml:space="preserve">Market Data + Economic Data → Feature Engineering → XGBoost → Market Prediction</w:t>
      </w:r>
    </w:p>
    <w:p>
      <w:pPr>
        <w:pStyle w:val="Heading2"/>
        <w:spacing w:after="140" w:before="280"/>
      </w:pPr>
      <w:r>
        <w:rPr>
          <w:b/>
          <w:bCs/>
          <w:color w:val="2E74B5"/>
        </w:rPr>
        <w:t xml:space="preserve">10.3 Recommendation</w:t>
      </w:r>
    </w:p>
    <w:p>
      <w:pPr>
        <w:spacing w:after="120"/>
      </w:pPr>
      <w:r>
        <w:t xml:space="preserve">User Profile + Risk Class + Asset Features → KNN / Recommendation Engine → Candidate Assets</w:t>
      </w:r>
    </w:p>
    <w:p>
      <w:pPr>
        <w:pStyle w:val="Heading2"/>
        <w:spacing w:after="140" w:before="280"/>
      </w:pPr>
      <w:r>
        <w:rPr>
          <w:b/>
          <w:bCs/>
          <w:color w:val="2E74B5"/>
        </w:rPr>
        <w:t xml:space="preserve">10.4 Portfolio Optimization</w:t>
      </w:r>
    </w:p>
    <w:p>
      <w:pPr>
        <w:spacing w:after="120"/>
      </w:pPr>
      <w:r>
        <w:t xml:space="preserve">Candidate Assets → Expected Return + Risk + Correlation → Optimizer → Asset Weights</w:t>
      </w:r>
    </w:p>
    <w:p>
      <w:pPr>
        <w:pStyle w:val="Heading2"/>
        <w:spacing w:after="140" w:before="280"/>
      </w:pPr>
      <w:r>
        <w:rPr>
          <w:b/>
          <w:bCs/>
          <w:color w:val="2E74B5"/>
        </w:rPr>
        <w:t xml:space="preserve">10.5 Model Lifecycle &amp; Versioning (New)</w:t>
      </w:r>
    </w:p>
    <w:p>
      <w:pPr>
        <w:spacing w:after="120"/>
      </w:pPr>
      <w:r>
        <w:t xml:space="preserve">The original PRD did not define how models move from experiment to production, or how a served prediction is tied back to the model that produced it. This section closes that gap.</w:t>
      </w:r>
    </w:p>
    <w:p>
      <w:pPr>
        <w:pStyle w:val="ListParagraph"/>
        <w:numPr>
          <w:ilvl w:val="0"/>
          <w:numId w:val="2"/>
        </w:numPr>
        <w:spacing w:after="60"/>
      </w:pPr>
      <w:r>
        <w:t xml:space="preserve">Every trained model artifact is versioned (e.g., semantic version + training-data date range + git commit hash) and stored in a model registry (can be as simple as a versioned S3/local directory + a models table in Postgres for the MVP).</w:t>
      </w:r>
    </w:p>
    <w:p>
      <w:pPr>
        <w:pStyle w:val="ListParagraph"/>
        <w:numPr>
          <w:ilvl w:val="0"/>
          <w:numId w:val="2"/>
        </w:numPr>
        <w:spacing w:after="60"/>
      </w:pPr>
      <w:r>
        <w:t xml:space="preserve">A model is only promoted to 'production' after it beats the current production model (or a naive baseline, for the first release) on the held-out test set defined in Section 18.</w:t>
      </w:r>
    </w:p>
    <w:p>
      <w:pPr>
        <w:pStyle w:val="ListParagraph"/>
        <w:numPr>
          <w:ilvl w:val="0"/>
          <w:numId w:val="2"/>
        </w:numPr>
        <w:spacing w:after="60"/>
      </w:pPr>
      <w:r>
        <w:t xml:space="preserve">Every prediction and recommendation response includes the model_version used to produce it, so results are reproducible and auditable.</w:t>
      </w:r>
    </w:p>
    <w:p>
      <w:pPr>
        <w:pStyle w:val="ListParagraph"/>
        <w:numPr>
          <w:ilvl w:val="0"/>
          <w:numId w:val="2"/>
        </w:numPr>
        <w:spacing w:after="60"/>
      </w:pPr>
      <w:r>
        <w:t xml:space="preserve">Retraining cadence: monthly for the market-prediction model (or triggered by a drift alert), quarterly for the risk-classification model, reviewed manually before promotion in the MVP (automated retraining is a Nice-to-Have — Section 20).</w:t>
      </w:r>
    </w:p>
    <w:p>
      <w:pPr>
        <w:pStyle w:val="ListParagraph"/>
        <w:numPr>
          <w:ilvl w:val="0"/>
          <w:numId w:val="2"/>
        </w:numPr>
        <w:spacing w:after="60"/>
      </w:pPr>
      <w:r>
        <w:t xml:space="preserve">Basic drift monitoring: track the distribution of key input features and the rolling prediction error; alert if either shifts beyond a defined threshold.</w:t>
      </w:r>
    </w:p>
    <w:p>
      <w:pPr>
        <w:pStyle w:val="Heading1"/>
        <w:spacing w:after="200" w:before="400"/>
      </w:pPr>
      <w:r>
        <w:rPr>
          <w:b/>
          <w:bCs/>
          <w:color w:val="1F3864"/>
        </w:rPr>
        <w:t xml:space="preserve">11. Data Architecture &amp; Governance</w:t>
      </w:r>
    </w:p>
    <w:p>
      <w:pPr>
        <w:pStyle w:val="Heading2"/>
        <w:spacing w:after="140" w:before="280"/>
      </w:pPr>
      <w:r>
        <w:rPr>
          <w:b/>
          <w:bCs/>
          <w:color w:val="2E74B5"/>
        </w:rPr>
        <w:t xml:space="preserve">11.1 Pipeline</w:t>
      </w:r>
    </w:p>
    <w:p>
      <w:pPr>
        <w:spacing w:after="120"/>
      </w:pPr>
      <w:r>
        <w:t xml:space="preserve">Yahoo Finance + FRED → Data Pipeline → PostgreSQL → Feature Engineering → ML Pipeline → Recommendation Engine → FastAPI → React Dashboard</w:t>
      </w:r>
    </w:p>
    <w:p>
      <w:pPr>
        <w:pStyle w:val="Heading2"/>
        <w:spacing w:after="140" w:before="280"/>
      </w:pPr>
      <w:r>
        <w:rPr>
          <w:b/>
          <w:bCs/>
          <w:color w:val="2E74B5"/>
        </w:rPr>
        <w:t xml:space="preserve">11.2 Data Governance &amp; Privacy (New)</w:t>
      </w:r>
    </w:p>
    <w:p>
      <w:pPr>
        <w:spacing w:after="120"/>
      </w:pPr>
      <w:r>
        <w:t xml:space="preserve">WealthPilotX stores personally identifiable and financial-profile data (income, savings, age). The original PRD did not address handling of this data; the following baseline applies:</w:t>
      </w:r>
    </w:p>
    <w:p>
      <w:pPr>
        <w:pStyle w:val="ListParagraph"/>
        <w:numPr>
          <w:ilvl w:val="0"/>
          <w:numId w:val="2"/>
        </w:numPr>
        <w:spacing w:after="60"/>
      </w:pPr>
      <w:r>
        <w:t xml:space="preserve">Financial profile fields (income, savings) are stored encrypted at rest where the hosting environment supports column- or disk-level encryption; access is restricted to the authenticated user and backend services only — never exposed in logs or error messages.</w:t>
      </w:r>
    </w:p>
    <w:p>
      <w:pPr>
        <w:pStyle w:val="ListParagraph"/>
        <w:numPr>
          <w:ilvl w:val="0"/>
          <w:numId w:val="2"/>
        </w:numPr>
        <w:spacing w:after="60"/>
      </w:pPr>
      <w:r>
        <w:t xml:space="preserve">Users can export or delete their financial profile and derived data (right to access / right to erasure), consistent with GDPR-style data-subject rights, even though the MVP does not require full regulatory certification.</w:t>
      </w:r>
    </w:p>
    <w:p>
      <w:pPr>
        <w:pStyle w:val="ListParagraph"/>
        <w:numPr>
          <w:ilvl w:val="0"/>
          <w:numId w:val="2"/>
        </w:numPr>
        <w:spacing w:after="60"/>
      </w:pPr>
      <w:r>
        <w:t xml:space="preserve">Aggregated data used in the Fairness Dashboard (Section 9, FR-14) is anonymized and only reported at group sizes above a minimum threshold (e.g., n ≥ 20) to prevent re-identification.</w:t>
      </w:r>
    </w:p>
    <w:p>
      <w:pPr>
        <w:pStyle w:val="ListParagraph"/>
        <w:numPr>
          <w:ilvl w:val="0"/>
          <w:numId w:val="2"/>
        </w:numPr>
        <w:spacing w:after="60"/>
      </w:pPr>
      <w:r>
        <w:t xml:space="preserve">Data retention: raw market/economic data retained indefinitely (public data); user financial profile and recommendation history retained until account deletion, then purged within 30 days.</w:t>
      </w:r>
    </w:p>
    <w:p>
      <w:pPr>
        <w:pStyle w:val="ListParagraph"/>
        <w:numPr>
          <w:ilvl w:val="0"/>
          <w:numId w:val="2"/>
        </w:numPr>
        <w:spacing w:after="60"/>
      </w:pPr>
      <w:r>
        <w:t xml:space="preserve">Third-party data terms: usage of Yahoo Finance data must respect its terms of service; because an unofficial API is used, the system is scoped as non-commercial/research use unless a licensed data provider is substituted before any commercial launch.</w:t>
      </w:r>
    </w:p>
    <w:p>
      <w:r>
        <w:br w:type="page"/>
      </w:r>
    </w:p>
    <w:p>
      <w:pPr>
        <w:pStyle w:val="Heading1"/>
        <w:spacing w:after="200" w:before="400"/>
      </w:pPr>
      <w:r>
        <w:rPr>
          <w:b/>
          <w:bCs/>
          <w:color w:val="1F3864"/>
        </w:rPr>
        <w:t xml:space="preserve">12. Database Requirements</w:t>
      </w:r>
    </w:p>
    <w:p>
      <w:pPr>
        <w:spacing w:after="120"/>
      </w:pPr>
      <w:r>
        <w:t xml:space="preserve">Field types and constraints have been added to the original table list so it can be used directly for schema migrations.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50"/>
      </w:tblGrid>
      <w:tr>
        <w:trPr>
          <w:tblHeader/>
        </w:trPr>
        <w:tc>
          <w:tcPr>
            <w:tcW w:type="dxa" w:w="26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Table</w:t>
            </w:r>
          </w:p>
        </w:tc>
        <w:tc>
          <w:tcPr>
            <w:tcW w:type="dxa" w:w="67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Key Fields (type / constraint)</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users</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id (UUID, PK) · email (text, UNIQUE, NOT NULL) · password_hash (text, NOT NULL) · created_at (timestamptz, default now())</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financial_profiles</w:t>
            </w:r>
          </w:p>
        </w:tc>
        <w:tc>
          <w:tcPr>
            <w:tcW w:type="dxa" w:w="6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id (UUID, PK) · user_id (UUID, FK → users.id, UNIQUE) · age (int, 18–120) · income (numeric ≥ 0) · savings (numeric ≥ 0) · risk_appetite (enum) · investment_goal (enum: RETIREMENT/GROWTH/WEALTH_CREATION) · investment_horizon (int, years) · experience (enum) · financial_literacy (enum)</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assets</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id (UUID, PK) · symbol (text, UNIQUE, NOT NULL) · name (text) · asset_type (enum: EQUITY/ETF/BOND/…)</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market_data</w:t>
            </w:r>
          </w:p>
        </w:tc>
        <w:tc>
          <w:tcPr>
            <w:tcW w:type="dxa" w:w="6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id (bigint, PK) · asset_id (UUID, FK → assets.id) · date (date) · open/high/low/close (numeric) · adj_close (numeric) · volume (bigint) · UNIQUE(asset_id, date)</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economic_indicators (new)</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id (bigint, PK) · series (enum: INFLATION/INTEREST_RATE/GDP/UNEMPLOYMENT/FX_RATE) · date (date) · value (numeric) · UNIQUE(series, date)</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predictions</w:t>
            </w:r>
          </w:p>
        </w:tc>
        <w:tc>
          <w:tcPr>
            <w:tcW w:type="dxa" w:w="6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id (UUID, PK) · asset_id (UUID, FK) · model_version (text, NOT NULL) · prediction_date (date) · predicted_return (numeric) · trend (enum) · confidence (numeric 0–1)</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risk_assessments (new)</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id (UUID, PK) · user_id (UUID, FK) · model_version (text) · risk_score (numeric) · risk_category (enum: LOW/MEDIUM/HIGH) · top_factors (jsonb) · created_at (timestamptz)</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portfolios</w:t>
            </w:r>
          </w:p>
        </w:tc>
        <w:tc>
          <w:tcPr>
            <w:tcW w:type="dxa" w:w="6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id (UUID, PK) · user_id (UUID, FK) · expected_return (numeric) · expected_risk (numeric) · created_at (timestamptz)</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portfolio_assets</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portfolio_id (UUID, FK, PK part) · asset_id (UUID, FK, PK part) · weight (numeric 0–1) · CHECK(sum of weights per portfolio_id = 1, enforced at application layer)</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recommendations</w:t>
            </w:r>
          </w:p>
        </w:tc>
        <w:tc>
          <w:tcPr>
            <w:tcW w:type="dxa" w:w="6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id (UUID, PK) · user_id (UUID, FK) · asset_id (UUID, FK) · score (numeric) · reason (text) · model_version (text) · created_at (timestamptz)</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models (new)</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id (UUID, PK) · name (text) · version (text) · training_data_range (daterange) · metrics (jsonb) · status (enum: EXPERIMENT/PRODUCTION/RETIRED) · created_at (timestamptz)</w:t>
            </w:r>
          </w:p>
        </w:tc>
      </w:tr>
    </w:tbl>
    <w:p>
      <w:pPr>
        <w:pStyle w:val="Heading1"/>
        <w:spacing w:after="200" w:before="400"/>
      </w:pPr>
      <w:r>
        <w:rPr>
          <w:b/>
          <w:bCs/>
          <w:color w:val="1F3864"/>
        </w:rPr>
        <w:t xml:space="preserve">13. API Requirements</w:t>
      </w:r>
    </w:p>
    <w:p>
      <w:pPr>
        <w:spacing w:after="120"/>
      </w:pPr>
      <w:r>
        <w:t xml:space="preserve">Endpoints are namespaced under /api/v1 for forward compatibility, and the response/error conventions below apply to every endpoint (not restated per-endpoint).</w:t>
      </w:r>
    </w:p>
    <w:p>
      <w:pPr>
        <w:pStyle w:val="Heading2"/>
        <w:spacing w:after="140" w:before="280"/>
      </w:pPr>
      <w:r>
        <w:rPr>
          <w:b/>
          <w:bCs/>
          <w:color w:val="2E74B5"/>
        </w:rPr>
        <w:t xml:space="preserve">13.1 Conventions (New)</w:t>
      </w:r>
    </w:p>
    <w:p>
      <w:pPr>
        <w:pStyle w:val="ListParagraph"/>
        <w:numPr>
          <w:ilvl w:val="0"/>
          <w:numId w:val="2"/>
        </w:numPr>
        <w:spacing w:after="60"/>
      </w:pPr>
      <w:r>
        <w:t xml:space="preserve">Base path: /api/v1 — breaking changes ship as /api/v2 rather than mutating v1 in place.</w:t>
      </w:r>
    </w:p>
    <w:p>
      <w:pPr>
        <w:pStyle w:val="ListParagraph"/>
        <w:numPr>
          <w:ilvl w:val="0"/>
          <w:numId w:val="2"/>
        </w:numPr>
        <w:spacing w:after="60"/>
      </w:pPr>
      <w:r>
        <w:t xml:space="preserve">Auth: Bearer JWT in the Authorization header for all endpoints except /auth/register and /auth/login.</w:t>
      </w:r>
    </w:p>
    <w:p>
      <w:pPr>
        <w:pStyle w:val="ListParagraph"/>
        <w:numPr>
          <w:ilvl w:val="0"/>
          <w:numId w:val="2"/>
        </w:numPr>
        <w:spacing w:after="60"/>
      </w:pPr>
      <w:r>
        <w:t xml:space="preserve">Errors: JSON body {"error": {"code": string, "message": string, "fields": object|null}} with a matching HTTP status (400/401/403/404/409/422/500).</w:t>
      </w:r>
    </w:p>
    <w:p>
      <w:pPr>
        <w:pStyle w:val="ListParagraph"/>
        <w:numPr>
          <w:ilvl w:val="0"/>
          <w:numId w:val="2"/>
        </w:numPr>
        <w:spacing w:after="60"/>
      </w:pPr>
      <w:r>
        <w:t xml:space="preserve">Pagination: list endpoints (e.g., market history) accept ?limit=&amp;cursor= and return {"data": [...], "next_cursor": string|null}.</w:t>
      </w:r>
    </w:p>
    <w:p>
      <w:pPr>
        <w:pStyle w:val="ListParagraph"/>
        <w:numPr>
          <w:ilvl w:val="0"/>
          <w:numId w:val="2"/>
        </w:numPr>
        <w:spacing w:after="60"/>
      </w:pPr>
      <w:r>
        <w:t xml:space="preserve">Rate limiting: 100 requests/minute per user on standard endpoints; 10 requests/minute on /risk/analyze and /portfolio/generate given their compute cost. Exceeding the limit returns HTTP 429.</w:t>
      </w:r>
    </w:p>
    <w:p>
      <w:pPr>
        <w:pStyle w:val="Heading2"/>
        <w:spacing w:after="140" w:before="280"/>
      </w:pPr>
      <w:r>
        <w:rPr>
          <w:b/>
          <w:bCs/>
          <w:color w:val="2E74B5"/>
        </w:rPr>
        <w:t xml:space="preserve">13.2 Endpoints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7150"/>
      </w:tblGrid>
      <w:tr>
        <w:trPr>
          <w:tblHeader/>
        </w:trPr>
        <w:tc>
          <w:tcPr>
            <w:tcW w:type="dxa" w:w="22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Area</w:t>
            </w:r>
          </w:p>
        </w:tc>
        <w:tc>
          <w:tcPr>
            <w:tcW w:type="dxa" w:w="71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Endpoints</w:t>
            </w:r>
          </w:p>
        </w:tc>
      </w:tr>
      <w:tr>
        <w:tc>
          <w:tcPr>
            <w:tcW w:type="dxa" w:w="2200"/>
            <w:tcMar>
              <w:top w:type="dxa" w:w="80"/>
              <w:left w:type="dxa" w:w="100"/>
              <w:bottom w:type="dxa" w:w="80"/>
              <w:right w:type="dxa" w:w="100"/>
            </w:tcMar>
            <w:vAlign w:val="center"/>
          </w:tcPr>
          <w:p>
            <w:pPr>
              <w:spacing w:after="0"/>
              <w:jc w:val="left"/>
            </w:pPr>
            <w:r>
              <w:rPr>
                <w:b w:val="false"/>
                <w:bCs w:val="false"/>
                <w:color w:val="000000"/>
                <w:sz w:val="20"/>
                <w:szCs w:val="20"/>
              </w:rPr>
              <w:t xml:space="preserve">Authentication</w:t>
            </w:r>
          </w:p>
        </w:tc>
        <w:tc>
          <w:tcPr>
            <w:tcW w:type="dxa" w:w="7150"/>
            <w:tcMar>
              <w:top w:type="dxa" w:w="80"/>
              <w:left w:type="dxa" w:w="100"/>
              <w:bottom w:type="dxa" w:w="80"/>
              <w:right w:type="dxa" w:w="100"/>
            </w:tcMar>
            <w:vAlign w:val="center"/>
          </w:tcPr>
          <w:p>
            <w:pPr>
              <w:spacing w:after="40"/>
              <w:jc w:val="left"/>
            </w:pPr>
            <w:r>
              <w:rPr>
                <w:b w:val="false"/>
                <w:bCs w:val="false"/>
                <w:color w:val="000000"/>
                <w:sz w:val="20"/>
                <w:szCs w:val="20"/>
              </w:rPr>
              <w:t xml:space="preserve">POST /api/v1/auth/register</w:t>
            </w:r>
          </w:p>
          <w:p>
            <w:pPr>
              <w:spacing w:after="40"/>
              <w:jc w:val="left"/>
            </w:pPr>
            <w:r>
              <w:rPr>
                <w:b w:val="false"/>
                <w:bCs w:val="false"/>
                <w:color w:val="000000"/>
                <w:sz w:val="20"/>
                <w:szCs w:val="20"/>
              </w:rPr>
              <w:t xml:space="preserve">POST /api/v1/auth/login</w:t>
            </w:r>
          </w:p>
          <w:p>
            <w:pPr>
              <w:spacing w:after="40"/>
              <w:jc w:val="left"/>
            </w:pPr>
            <w:r>
              <w:rPr>
                <w:b w:val="false"/>
                <w:bCs w:val="false"/>
                <w:color w:val="000000"/>
                <w:sz w:val="20"/>
                <w:szCs w:val="20"/>
              </w:rPr>
              <w:t xml:space="preserve">POST /api/v1/auth/logout</w:t>
            </w:r>
          </w:p>
          <w:p>
            <w:pPr>
              <w:spacing w:after="0"/>
              <w:jc w:val="left"/>
            </w:pPr>
            <w:r>
              <w:rPr>
                <w:b w:val="false"/>
                <w:bCs w:val="false"/>
                <w:color w:val="000000"/>
                <w:sz w:val="20"/>
                <w:szCs w:val="20"/>
              </w:rPr>
              <w:t xml:space="preserve">POST /api/v1/auth/refresh</w:t>
            </w:r>
          </w:p>
        </w:tc>
      </w:tr>
      <w:tr>
        <w:tc>
          <w:tcPr>
            <w:tcW w:type="dxa" w:w="2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User</w:t>
            </w:r>
          </w:p>
        </w:tc>
        <w:tc>
          <w:tcPr>
            <w:tcW w:type="dxa" w:w="7150"/>
            <w:shd w:fill="F5F8FC" w:color="auto" w:val="clear"/>
            <w:tcMar>
              <w:top w:type="dxa" w:w="80"/>
              <w:left w:type="dxa" w:w="100"/>
              <w:bottom w:type="dxa" w:w="80"/>
              <w:right w:type="dxa" w:w="100"/>
            </w:tcMar>
            <w:vAlign w:val="center"/>
          </w:tcPr>
          <w:p>
            <w:pPr>
              <w:spacing w:after="40"/>
              <w:jc w:val="left"/>
            </w:pPr>
            <w:r>
              <w:rPr>
                <w:b w:val="false"/>
                <w:bCs w:val="false"/>
                <w:color w:val="000000"/>
                <w:sz w:val="20"/>
                <w:szCs w:val="20"/>
              </w:rPr>
              <w:t xml:space="preserve">GET /api/v1/user/profile</w:t>
            </w:r>
          </w:p>
          <w:p>
            <w:pPr>
              <w:spacing w:after="40"/>
              <w:jc w:val="left"/>
            </w:pPr>
            <w:r>
              <w:rPr>
                <w:b w:val="false"/>
                <w:bCs w:val="false"/>
                <w:color w:val="000000"/>
                <w:sz w:val="20"/>
                <w:szCs w:val="20"/>
              </w:rPr>
              <w:t xml:space="preserve">PUT /api/v1/user/profile</w:t>
            </w:r>
          </w:p>
          <w:p>
            <w:pPr>
              <w:spacing w:after="0"/>
              <w:jc w:val="left"/>
            </w:pPr>
            <w:r>
              <w:rPr>
                <w:b w:val="false"/>
                <w:bCs w:val="false"/>
                <w:color w:val="000000"/>
                <w:sz w:val="20"/>
                <w:szCs w:val="20"/>
              </w:rPr>
              <w:t xml:space="preserve">DELETE /api/v1/user/profile  (data-erasure request, Section 11.2)</w:t>
            </w:r>
          </w:p>
        </w:tc>
      </w:tr>
      <w:tr>
        <w:tc>
          <w:tcPr>
            <w:tcW w:type="dxa" w:w="2200"/>
            <w:tcMar>
              <w:top w:type="dxa" w:w="80"/>
              <w:left w:type="dxa" w:w="100"/>
              <w:bottom w:type="dxa" w:w="80"/>
              <w:right w:type="dxa" w:w="100"/>
            </w:tcMar>
            <w:vAlign w:val="center"/>
          </w:tcPr>
          <w:p>
            <w:pPr>
              <w:spacing w:after="0"/>
              <w:jc w:val="left"/>
            </w:pPr>
            <w:r>
              <w:rPr>
                <w:b w:val="false"/>
                <w:bCs w:val="false"/>
                <w:color w:val="000000"/>
                <w:sz w:val="20"/>
                <w:szCs w:val="20"/>
              </w:rPr>
              <w:t xml:space="preserve">Risk</w:t>
            </w:r>
          </w:p>
        </w:tc>
        <w:tc>
          <w:tcPr>
            <w:tcW w:type="dxa" w:w="7150"/>
            <w:tcMar>
              <w:top w:type="dxa" w:w="80"/>
              <w:left w:type="dxa" w:w="100"/>
              <w:bottom w:type="dxa" w:w="80"/>
              <w:right w:type="dxa" w:w="100"/>
            </w:tcMar>
            <w:vAlign w:val="center"/>
          </w:tcPr>
          <w:p>
            <w:pPr>
              <w:spacing w:after="40"/>
              <w:jc w:val="left"/>
            </w:pPr>
            <w:r>
              <w:rPr>
                <w:b w:val="false"/>
                <w:bCs w:val="false"/>
                <w:color w:val="000000"/>
                <w:sz w:val="20"/>
                <w:szCs w:val="20"/>
              </w:rPr>
              <w:t xml:space="preserve">POST /api/v1/risk/analyze</w:t>
            </w:r>
          </w:p>
          <w:p>
            <w:pPr>
              <w:spacing w:after="0"/>
              <w:jc w:val="left"/>
            </w:pPr>
            <w:r>
              <w:rPr>
                <w:b w:val="false"/>
                <w:bCs w:val="false"/>
                <w:color w:val="000000"/>
                <w:sz w:val="20"/>
                <w:szCs w:val="20"/>
              </w:rPr>
              <w:t xml:space="preserve">GET /api/v1/risk/latest</w:t>
            </w:r>
          </w:p>
        </w:tc>
      </w:tr>
      <w:tr>
        <w:tc>
          <w:tcPr>
            <w:tcW w:type="dxa" w:w="2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Market</w:t>
            </w:r>
          </w:p>
        </w:tc>
        <w:tc>
          <w:tcPr>
            <w:tcW w:type="dxa" w:w="7150"/>
            <w:shd w:fill="F5F8FC" w:color="auto" w:val="clear"/>
            <w:tcMar>
              <w:top w:type="dxa" w:w="80"/>
              <w:left w:type="dxa" w:w="100"/>
              <w:bottom w:type="dxa" w:w="80"/>
              <w:right w:type="dxa" w:w="100"/>
            </w:tcMar>
            <w:vAlign w:val="center"/>
          </w:tcPr>
          <w:p>
            <w:pPr>
              <w:spacing w:after="40"/>
              <w:jc w:val="left"/>
            </w:pPr>
            <w:r>
              <w:rPr>
                <w:b w:val="false"/>
                <w:bCs w:val="false"/>
                <w:color w:val="000000"/>
                <w:sz w:val="20"/>
                <w:szCs w:val="20"/>
              </w:rPr>
              <w:t xml:space="preserve">GET /api/v1/market/assets</w:t>
            </w:r>
          </w:p>
          <w:p>
            <w:pPr>
              <w:spacing w:after="40"/>
              <w:jc w:val="left"/>
            </w:pPr>
            <w:r>
              <w:rPr>
                <w:b w:val="false"/>
                <w:bCs w:val="false"/>
                <w:color w:val="000000"/>
                <w:sz w:val="20"/>
                <w:szCs w:val="20"/>
              </w:rPr>
              <w:t xml:space="preserve">GET /api/v1/market/{symbol}</w:t>
            </w:r>
          </w:p>
          <w:p>
            <w:pPr>
              <w:spacing w:after="0"/>
              <w:jc w:val="left"/>
            </w:pPr>
            <w:r>
              <w:rPr>
                <w:b w:val="false"/>
                <w:bCs w:val="false"/>
                <w:color w:val="000000"/>
                <w:sz w:val="20"/>
                <w:szCs w:val="20"/>
              </w:rPr>
              <w:t xml:space="preserve">GET /api/v1/market/{symbol}/prediction</w:t>
            </w:r>
          </w:p>
        </w:tc>
      </w:tr>
      <w:tr>
        <w:tc>
          <w:tcPr>
            <w:tcW w:type="dxa" w:w="2200"/>
            <w:tcMar>
              <w:top w:type="dxa" w:w="80"/>
              <w:left w:type="dxa" w:w="100"/>
              <w:bottom w:type="dxa" w:w="80"/>
              <w:right w:type="dxa" w:w="100"/>
            </w:tcMar>
            <w:vAlign w:val="center"/>
          </w:tcPr>
          <w:p>
            <w:pPr>
              <w:spacing w:after="0"/>
              <w:jc w:val="left"/>
            </w:pPr>
            <w:r>
              <w:rPr>
                <w:b w:val="false"/>
                <w:bCs w:val="false"/>
                <w:color w:val="000000"/>
                <w:sz w:val="20"/>
                <w:szCs w:val="20"/>
              </w:rPr>
              <w:t xml:space="preserve">Portfolio</w:t>
            </w:r>
          </w:p>
        </w:tc>
        <w:tc>
          <w:tcPr>
            <w:tcW w:type="dxa" w:w="7150"/>
            <w:tcMar>
              <w:top w:type="dxa" w:w="80"/>
              <w:left w:type="dxa" w:w="100"/>
              <w:bottom w:type="dxa" w:w="80"/>
              <w:right w:type="dxa" w:w="100"/>
            </w:tcMar>
            <w:vAlign w:val="center"/>
          </w:tcPr>
          <w:p>
            <w:pPr>
              <w:spacing w:after="40"/>
              <w:jc w:val="left"/>
            </w:pPr>
            <w:r>
              <w:rPr>
                <w:b w:val="false"/>
                <w:bCs w:val="false"/>
                <w:color w:val="000000"/>
                <w:sz w:val="20"/>
                <w:szCs w:val="20"/>
              </w:rPr>
              <w:t xml:space="preserve">POST /api/v1/portfolio/generate</w:t>
            </w:r>
          </w:p>
          <w:p>
            <w:pPr>
              <w:spacing w:after="40"/>
              <w:jc w:val="left"/>
            </w:pPr>
            <w:r>
              <w:rPr>
                <w:b w:val="false"/>
                <w:bCs w:val="false"/>
                <w:color w:val="000000"/>
                <w:sz w:val="20"/>
                <w:szCs w:val="20"/>
              </w:rPr>
              <w:t xml:space="preserve">GET /api/v1/portfolio/current</w:t>
            </w:r>
          </w:p>
          <w:p>
            <w:pPr>
              <w:spacing w:after="0"/>
              <w:jc w:val="left"/>
            </w:pPr>
            <w:r>
              <w:rPr>
                <w:b w:val="false"/>
                <w:bCs w:val="false"/>
                <w:color w:val="000000"/>
                <w:sz w:val="20"/>
                <w:szCs w:val="20"/>
              </w:rPr>
              <w:t xml:space="preserve">GET /api/v1/portfolio/history</w:t>
            </w:r>
          </w:p>
        </w:tc>
      </w:tr>
      <w:tr>
        <w:tc>
          <w:tcPr>
            <w:tcW w:type="dxa" w:w="2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Explainability</w:t>
            </w:r>
          </w:p>
        </w:tc>
        <w:tc>
          <w:tcPr>
            <w:tcW w:type="dxa" w:w="71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GET /api/v1/recommendation/{id}/explanation</w:t>
            </w:r>
          </w:p>
        </w:tc>
      </w:tr>
      <w:tr>
        <w:tc>
          <w:tcPr>
            <w:tcW w:type="dxa" w:w="2200"/>
            <w:tcMar>
              <w:top w:type="dxa" w:w="80"/>
              <w:left w:type="dxa" w:w="100"/>
              <w:bottom w:type="dxa" w:w="80"/>
              <w:right w:type="dxa" w:w="100"/>
            </w:tcMar>
            <w:vAlign w:val="center"/>
          </w:tcPr>
          <w:p>
            <w:pPr>
              <w:spacing w:after="0"/>
              <w:jc w:val="left"/>
            </w:pPr>
            <w:r>
              <w:rPr>
                <w:b w:val="false"/>
                <w:bCs w:val="false"/>
                <w:color w:val="000000"/>
                <w:sz w:val="20"/>
                <w:szCs w:val="20"/>
              </w:rPr>
              <w:t xml:space="preserve">Fairness</w:t>
            </w:r>
          </w:p>
        </w:tc>
        <w:tc>
          <w:tcPr>
            <w:tcW w:type="dxa" w:w="7150"/>
            <w:tcMar>
              <w:top w:type="dxa" w:w="80"/>
              <w:left w:type="dxa" w:w="100"/>
              <w:bottom w:type="dxa" w:w="80"/>
              <w:right w:type="dxa" w:w="100"/>
            </w:tcMar>
            <w:vAlign w:val="center"/>
          </w:tcPr>
          <w:p>
            <w:pPr>
              <w:spacing w:after="0"/>
              <w:jc w:val="left"/>
            </w:pPr>
            <w:r>
              <w:rPr>
                <w:b w:val="false"/>
                <w:bCs w:val="false"/>
                <w:color w:val="000000"/>
                <w:sz w:val="20"/>
                <w:szCs w:val="20"/>
              </w:rPr>
              <w:t xml:space="preserve">GET /api/v1/fairness/report</w:t>
            </w:r>
          </w:p>
        </w:tc>
      </w:tr>
      <w:tr>
        <w:tc>
          <w:tcPr>
            <w:tcW w:type="dxa" w:w="2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System (new)</w:t>
            </w:r>
          </w:p>
        </w:tc>
        <w:tc>
          <w:tcPr>
            <w:tcW w:type="dxa" w:w="71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GET /api/v1/health  (liveness/readiness for monitoring, Section 16.4)</w:t>
            </w:r>
          </w:p>
        </w:tc>
      </w:tr>
    </w:tbl>
    <w:p>
      <w:pPr>
        <w:pStyle w:val="Heading1"/>
        <w:spacing w:after="200" w:before="400"/>
      </w:pPr>
      <w:r>
        <w:rPr>
          <w:b/>
          <w:bCs/>
          <w:color w:val="1F3864"/>
        </w:rPr>
        <w:t xml:space="preserve">14. Frontend Pages</w:t>
      </w:r>
    </w:p>
    <w:p>
      <w:pPr>
        <w:pStyle w:val="ListParagraph"/>
        <w:numPr>
          <w:ilvl w:val="0"/>
          <w:numId w:val="2"/>
        </w:numPr>
        <w:spacing w:after="60"/>
      </w:pPr>
      <w:r>
        <w:t xml:space="preserve">Landing</w:t>
      </w:r>
    </w:p>
    <w:p>
      <w:pPr>
        <w:pStyle w:val="ListParagraph"/>
        <w:numPr>
          <w:ilvl w:val="0"/>
          <w:numId w:val="2"/>
        </w:numPr>
        <w:spacing w:after="60"/>
      </w:pPr>
      <w:r>
        <w:t xml:space="preserve">Login</w:t>
      </w:r>
    </w:p>
    <w:p>
      <w:pPr>
        <w:pStyle w:val="ListParagraph"/>
        <w:numPr>
          <w:ilvl w:val="0"/>
          <w:numId w:val="2"/>
        </w:numPr>
        <w:spacing w:after="60"/>
      </w:pPr>
      <w:r>
        <w:t xml:space="preserve">Register</w:t>
      </w:r>
    </w:p>
    <w:p>
      <w:pPr>
        <w:pStyle w:val="ListParagraph"/>
        <w:numPr>
          <w:ilvl w:val="0"/>
          <w:numId w:val="2"/>
        </w:numPr>
        <w:spacing w:after="60"/>
      </w:pPr>
      <w:r>
        <w:t xml:space="preserve">Onboarding</w:t>
      </w:r>
    </w:p>
    <w:p>
      <w:pPr>
        <w:pStyle w:val="ListParagraph"/>
        <w:numPr>
          <w:ilvl w:val="0"/>
          <w:numId w:val="2"/>
        </w:numPr>
        <w:spacing w:after="60"/>
      </w:pPr>
      <w:r>
        <w:t xml:space="preserve">Dashboard</w:t>
      </w:r>
    </w:p>
    <w:p>
      <w:pPr>
        <w:pStyle w:val="ListParagraph"/>
        <w:numPr>
          <w:ilvl w:val="0"/>
          <w:numId w:val="2"/>
        </w:numPr>
        <w:spacing w:after="60"/>
      </w:pPr>
      <w:r>
        <w:t xml:space="preserve">Risk Profile</w:t>
      </w:r>
    </w:p>
    <w:p>
      <w:pPr>
        <w:pStyle w:val="ListParagraph"/>
        <w:numPr>
          <w:ilvl w:val="0"/>
          <w:numId w:val="2"/>
        </w:numPr>
        <w:spacing w:after="60"/>
      </w:pPr>
      <w:r>
        <w:t xml:space="preserve">Market Intelligence</w:t>
      </w:r>
    </w:p>
    <w:p>
      <w:pPr>
        <w:pStyle w:val="ListParagraph"/>
        <w:numPr>
          <w:ilvl w:val="0"/>
          <w:numId w:val="2"/>
        </w:numPr>
        <w:spacing w:after="60"/>
      </w:pPr>
      <w:r>
        <w:t xml:space="preserve">Asset Details</w:t>
      </w:r>
    </w:p>
    <w:p>
      <w:pPr>
        <w:pStyle w:val="ListParagraph"/>
        <w:numPr>
          <w:ilvl w:val="0"/>
          <w:numId w:val="2"/>
        </w:numPr>
        <w:spacing w:after="60"/>
      </w:pPr>
      <w:r>
        <w:t xml:space="preserve">Portfolio</w:t>
      </w:r>
    </w:p>
    <w:p>
      <w:pPr>
        <w:pStyle w:val="ListParagraph"/>
        <w:numPr>
          <w:ilvl w:val="0"/>
          <w:numId w:val="2"/>
        </w:numPr>
        <w:spacing w:after="60"/>
      </w:pPr>
      <w:r>
        <w:t xml:space="preserve">Recommendation Details</w:t>
      </w:r>
    </w:p>
    <w:p>
      <w:pPr>
        <w:pStyle w:val="ListParagraph"/>
        <w:numPr>
          <w:ilvl w:val="0"/>
          <w:numId w:val="2"/>
        </w:numPr>
        <w:spacing w:after="60"/>
      </w:pPr>
      <w:r>
        <w:t xml:space="preserve">Explainability</w:t>
      </w:r>
    </w:p>
    <w:p>
      <w:pPr>
        <w:pStyle w:val="ListParagraph"/>
        <w:numPr>
          <w:ilvl w:val="0"/>
          <w:numId w:val="2"/>
        </w:numPr>
        <w:spacing w:after="60"/>
      </w:pPr>
      <w:r>
        <w:t xml:space="preserve">Fairness</w:t>
      </w:r>
    </w:p>
    <w:p>
      <w:pPr>
        <w:pStyle w:val="ListParagraph"/>
        <w:numPr>
          <w:ilvl w:val="0"/>
          <w:numId w:val="2"/>
        </w:numPr>
        <w:spacing w:after="60"/>
      </w:pPr>
      <w:r>
        <w:t xml:space="preserve">Settings / Data &amp; Privacy (new — supports FR-01 account management and Section 11.2 data rights)</w:t>
      </w:r>
    </w:p>
    <w:p>
      <w:r>
        <w:br w:type="page"/>
      </w:r>
    </w:p>
    <w:p>
      <w:pPr>
        <w:pStyle w:val="Heading1"/>
        <w:spacing w:after="200" w:before="400"/>
      </w:pPr>
      <w:r>
        <w:rPr>
          <w:b/>
          <w:bCs/>
          <w:color w:val="1F3864"/>
        </w:rPr>
        <w:t xml:space="preserve">15. Technology Stack</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6450"/>
      </w:tblGrid>
      <w:tr>
        <w:trPr>
          <w:tblHeader/>
        </w:trPr>
        <w:tc>
          <w:tcPr>
            <w:tcW w:type="dxa" w:w="29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Component</w:t>
            </w:r>
          </w:p>
        </w:tc>
        <w:tc>
          <w:tcPr>
            <w:tcW w:type="dxa" w:w="64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Technology</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Frontend</w:t>
            </w:r>
          </w:p>
        </w:tc>
        <w:tc>
          <w:tcPr>
            <w:tcW w:type="dxa" w:w="6450"/>
            <w:tcMar>
              <w:top w:type="dxa" w:w="80"/>
              <w:left w:type="dxa" w:w="100"/>
              <w:bottom w:type="dxa" w:w="80"/>
              <w:right w:type="dxa" w:w="100"/>
            </w:tcMar>
            <w:vAlign w:val="center"/>
          </w:tcPr>
          <w:p>
            <w:pPr>
              <w:spacing w:after="0"/>
              <w:jc w:val="left"/>
            </w:pPr>
            <w:r>
              <w:rPr>
                <w:b w:val="false"/>
                <w:bCs w:val="false"/>
                <w:color w:val="000000"/>
                <w:sz w:val="20"/>
                <w:szCs w:val="20"/>
              </w:rPr>
              <w:t xml:space="preserve">React + TypeScript</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Styling</w:t>
            </w:r>
          </w:p>
        </w:tc>
        <w:tc>
          <w:tcPr>
            <w:tcW w:type="dxa" w:w="64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Tailwind CSS</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Charts</w:t>
            </w:r>
          </w:p>
        </w:tc>
        <w:tc>
          <w:tcPr>
            <w:tcW w:type="dxa" w:w="6450"/>
            <w:tcMar>
              <w:top w:type="dxa" w:w="80"/>
              <w:left w:type="dxa" w:w="100"/>
              <w:bottom w:type="dxa" w:w="80"/>
              <w:right w:type="dxa" w:w="100"/>
            </w:tcMar>
            <w:vAlign w:val="center"/>
          </w:tcPr>
          <w:p>
            <w:pPr>
              <w:spacing w:after="0"/>
              <w:jc w:val="left"/>
            </w:pPr>
            <w:r>
              <w:rPr>
                <w:b w:val="false"/>
                <w:bCs w:val="false"/>
                <w:color w:val="000000"/>
                <w:sz w:val="20"/>
                <w:szCs w:val="20"/>
              </w:rPr>
              <w:t xml:space="preserve">Plotly</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Backend</w:t>
            </w:r>
          </w:p>
        </w:tc>
        <w:tc>
          <w:tcPr>
            <w:tcW w:type="dxa" w:w="64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FastAPI</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Language</w:t>
            </w:r>
          </w:p>
        </w:tc>
        <w:tc>
          <w:tcPr>
            <w:tcW w:type="dxa" w:w="6450"/>
            <w:tcMar>
              <w:top w:type="dxa" w:w="80"/>
              <w:left w:type="dxa" w:w="100"/>
              <w:bottom w:type="dxa" w:w="80"/>
              <w:right w:type="dxa" w:w="100"/>
            </w:tcMar>
            <w:vAlign w:val="center"/>
          </w:tcPr>
          <w:p>
            <w:pPr>
              <w:spacing w:after="0"/>
              <w:jc w:val="left"/>
            </w:pPr>
            <w:r>
              <w:rPr>
                <w:b w:val="false"/>
                <w:bCs w:val="false"/>
                <w:color w:val="000000"/>
                <w:sz w:val="20"/>
                <w:szCs w:val="20"/>
              </w:rPr>
              <w:t xml:space="preserve">Python</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ML</w:t>
            </w:r>
          </w:p>
        </w:tc>
        <w:tc>
          <w:tcPr>
            <w:tcW w:type="dxa" w:w="64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Scikit-learn</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Prediction</w:t>
            </w:r>
          </w:p>
        </w:tc>
        <w:tc>
          <w:tcPr>
            <w:tcW w:type="dxa" w:w="6450"/>
            <w:tcMar>
              <w:top w:type="dxa" w:w="80"/>
              <w:left w:type="dxa" w:w="100"/>
              <w:bottom w:type="dxa" w:w="80"/>
              <w:right w:type="dxa" w:w="100"/>
            </w:tcMar>
            <w:vAlign w:val="center"/>
          </w:tcPr>
          <w:p>
            <w:pPr>
              <w:spacing w:after="0"/>
              <w:jc w:val="left"/>
            </w:pPr>
            <w:r>
              <w:rPr>
                <w:b w:val="false"/>
                <w:bCs w:val="false"/>
                <w:color w:val="000000"/>
                <w:sz w:val="20"/>
                <w:szCs w:val="20"/>
              </w:rPr>
              <w:t xml:space="preserve">XGBoost</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Database</w:t>
            </w:r>
          </w:p>
        </w:tc>
        <w:tc>
          <w:tcPr>
            <w:tcW w:type="dxa" w:w="64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PostgreSQL</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ORM</w:t>
            </w:r>
          </w:p>
        </w:tc>
        <w:tc>
          <w:tcPr>
            <w:tcW w:type="dxa" w:w="6450"/>
            <w:tcMar>
              <w:top w:type="dxa" w:w="80"/>
              <w:left w:type="dxa" w:w="100"/>
              <w:bottom w:type="dxa" w:w="80"/>
              <w:right w:type="dxa" w:w="100"/>
            </w:tcMar>
            <w:vAlign w:val="center"/>
          </w:tcPr>
          <w:p>
            <w:pPr>
              <w:spacing w:after="0"/>
              <w:jc w:val="left"/>
            </w:pPr>
            <w:r>
              <w:rPr>
                <w:b w:val="false"/>
                <w:bCs w:val="false"/>
                <w:color w:val="000000"/>
                <w:sz w:val="20"/>
                <w:szCs w:val="20"/>
              </w:rPr>
              <w:t xml:space="preserve">SQLAlchemy</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Validation</w:t>
            </w:r>
          </w:p>
        </w:tc>
        <w:tc>
          <w:tcPr>
            <w:tcW w:type="dxa" w:w="64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Pydantic</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Authentication</w:t>
            </w:r>
          </w:p>
        </w:tc>
        <w:tc>
          <w:tcPr>
            <w:tcW w:type="dxa" w:w="6450"/>
            <w:tcMar>
              <w:top w:type="dxa" w:w="80"/>
              <w:left w:type="dxa" w:w="100"/>
              <w:bottom w:type="dxa" w:w="80"/>
              <w:right w:type="dxa" w:w="100"/>
            </w:tcMar>
            <w:vAlign w:val="center"/>
          </w:tcPr>
          <w:p>
            <w:pPr>
              <w:spacing w:after="0"/>
              <w:jc w:val="left"/>
            </w:pPr>
            <w:r>
              <w:rPr>
                <w:b w:val="false"/>
                <w:bCs w:val="false"/>
                <w:color w:val="000000"/>
                <w:sz w:val="20"/>
                <w:szCs w:val="20"/>
              </w:rPr>
              <w:t xml:space="preserve">JWT</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Containerization</w:t>
            </w:r>
          </w:p>
        </w:tc>
        <w:tc>
          <w:tcPr>
            <w:tcW w:type="dxa" w:w="64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Docker</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Testing</w:t>
            </w:r>
          </w:p>
        </w:tc>
        <w:tc>
          <w:tcPr>
            <w:tcW w:type="dxa" w:w="6450"/>
            <w:tcMar>
              <w:top w:type="dxa" w:w="80"/>
              <w:left w:type="dxa" w:w="100"/>
              <w:bottom w:type="dxa" w:w="80"/>
              <w:right w:type="dxa" w:w="100"/>
            </w:tcMar>
            <w:vAlign w:val="center"/>
          </w:tcPr>
          <w:p>
            <w:pPr>
              <w:spacing w:after="0"/>
              <w:jc w:val="left"/>
            </w:pPr>
            <w:r>
              <w:rPr>
                <w:b w:val="false"/>
                <w:bCs w:val="false"/>
                <w:color w:val="000000"/>
                <w:sz w:val="20"/>
                <w:szCs w:val="20"/>
              </w:rPr>
              <w:t xml:space="preserve">Pytest (backend/ML), Vitest + React Testing Library (frontend, new)</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CI/CD (new)</w:t>
            </w:r>
          </w:p>
        </w:tc>
        <w:tc>
          <w:tcPr>
            <w:tcW w:type="dxa" w:w="64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GitHub Actions — lint, test, build on every PR; manual approval to deploy</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Observability (new)</w:t>
            </w:r>
          </w:p>
        </w:tc>
        <w:tc>
          <w:tcPr>
            <w:tcW w:type="dxa" w:w="6450"/>
            <w:tcMar>
              <w:top w:type="dxa" w:w="80"/>
              <w:left w:type="dxa" w:w="100"/>
              <w:bottom w:type="dxa" w:w="80"/>
              <w:right w:type="dxa" w:w="100"/>
            </w:tcMar>
            <w:vAlign w:val="center"/>
          </w:tcPr>
          <w:p>
            <w:pPr>
              <w:spacing w:after="0"/>
              <w:jc w:val="left"/>
            </w:pPr>
            <w:r>
              <w:rPr>
                <w:b w:val="false"/>
                <w:bCs w:val="false"/>
                <w:color w:val="000000"/>
                <w:sz w:val="20"/>
                <w:szCs w:val="20"/>
              </w:rPr>
              <w:t xml:space="preserve">Structured logging (JSON) + basic metrics endpoint; hosted error tracking optional (e.g., Sentry free tier)</w:t>
            </w:r>
          </w:p>
        </w:tc>
      </w:tr>
    </w:tbl>
    <w:p>
      <w:pPr>
        <w:spacing w:after="120"/>
      </w:pPr>
      <w:r>
        <w:t xml:space="preserve">TensorFlow/Keras can remain available for future deep-learning experiments rather than being mandatory for the MVP.</w:t>
      </w:r>
    </w:p>
    <w:p>
      <w:pPr>
        <w:pStyle w:val="Heading1"/>
        <w:spacing w:after="200" w:before="400"/>
      </w:pPr>
      <w:r>
        <w:rPr>
          <w:b/>
          <w:bCs/>
          <w:color w:val="1F3864"/>
        </w:rPr>
        <w:t xml:space="preserve">16. Non-Functional Requirements</w:t>
      </w:r>
    </w:p>
    <w:p>
      <w:pPr>
        <w:pStyle w:val="Heading2"/>
        <w:spacing w:after="140" w:before="280"/>
      </w:pPr>
      <w:r>
        <w:rPr>
          <w:b/>
          <w:bCs/>
          <w:color w:val="2E74B5"/>
        </w:rPr>
        <w:t xml:space="preserve">16.1 Performance</w:t>
      </w:r>
    </w:p>
    <w:p>
      <w:pPr>
        <w:pStyle w:val="ListParagraph"/>
        <w:numPr>
          <w:ilvl w:val="0"/>
          <w:numId w:val="2"/>
        </w:numPr>
        <w:spacing w:after="60"/>
      </w:pPr>
      <w:r>
        <w:t xml:space="preserve">Dashboard API response target: under 2 seconds for normal cached requests.</w:t>
      </w:r>
    </w:p>
    <w:p>
      <w:pPr>
        <w:pStyle w:val="ListParagraph"/>
        <w:numPr>
          <w:ilvl w:val="0"/>
          <w:numId w:val="2"/>
        </w:numPr>
        <w:spacing w:after="60"/>
      </w:pPr>
      <w:r>
        <w:t xml:space="preserve">Individual ML prediction target: under 5 seconds.</w:t>
      </w:r>
    </w:p>
    <w:p>
      <w:pPr>
        <w:pStyle w:val="ListParagraph"/>
        <w:numPr>
          <w:ilvl w:val="0"/>
          <w:numId w:val="2"/>
        </w:numPr>
        <w:spacing w:after="60"/>
      </w:pPr>
      <w:r>
        <w:t xml:space="preserve">Portfolio optimization target: under 8 seconds for the initial supported asset universe (new — the original PRD had no target for this specific, heavier computation).</w:t>
      </w:r>
    </w:p>
    <w:p>
      <w:pPr>
        <w:pStyle w:val="Heading2"/>
        <w:spacing w:after="140" w:before="280"/>
      </w:pPr>
      <w:r>
        <w:rPr>
          <w:b/>
          <w:bCs/>
          <w:color w:val="2E74B5"/>
        </w:rPr>
        <w:t xml:space="preserve">16.2 Security</w:t>
      </w:r>
    </w:p>
    <w:p>
      <w:pPr>
        <w:pStyle w:val="ListParagraph"/>
        <w:numPr>
          <w:ilvl w:val="0"/>
          <w:numId w:val="2"/>
        </w:numPr>
        <w:spacing w:after="60"/>
      </w:pPr>
      <w:r>
        <w:t xml:space="preserve">Password hashing (bcrypt/argon2).</w:t>
      </w:r>
    </w:p>
    <w:p>
      <w:pPr>
        <w:pStyle w:val="ListParagraph"/>
        <w:numPr>
          <w:ilvl w:val="0"/>
          <w:numId w:val="2"/>
        </w:numPr>
        <w:spacing w:after="60"/>
      </w:pPr>
      <w:r>
        <w:t xml:space="preserve">JWT authentication with short-lived access tokens and refresh tokens.</w:t>
      </w:r>
    </w:p>
    <w:p>
      <w:pPr>
        <w:pStyle w:val="ListParagraph"/>
        <w:numPr>
          <w:ilvl w:val="0"/>
          <w:numId w:val="2"/>
        </w:numPr>
        <w:spacing w:after="60"/>
      </w:pPr>
      <w:r>
        <w:t xml:space="preserve">Input validation on every endpoint via Pydantic schemas.</w:t>
      </w:r>
    </w:p>
    <w:p>
      <w:pPr>
        <w:pStyle w:val="ListParagraph"/>
        <w:numPr>
          <w:ilvl w:val="0"/>
          <w:numId w:val="2"/>
        </w:numPr>
        <w:spacing w:after="60"/>
      </w:pPr>
      <w:r>
        <w:t xml:space="preserve">API authorization: users can only read/modify their own resources.</w:t>
      </w:r>
    </w:p>
    <w:p>
      <w:pPr>
        <w:pStyle w:val="ListParagraph"/>
        <w:numPr>
          <w:ilvl w:val="0"/>
          <w:numId w:val="2"/>
        </w:numPr>
        <w:spacing w:after="60"/>
      </w:pPr>
      <w:r>
        <w:t xml:space="preserve">Environment-based secrets (no hardcoded credentials).</w:t>
      </w:r>
    </w:p>
    <w:p>
      <w:pPr>
        <w:pStyle w:val="ListParagraph"/>
        <w:numPr>
          <w:ilvl w:val="0"/>
          <w:numId w:val="2"/>
        </w:numPr>
        <w:spacing w:after="60"/>
      </w:pPr>
      <w:r>
        <w:t xml:space="preserve">HTTPS in production.</w:t>
      </w:r>
    </w:p>
    <w:p>
      <w:pPr>
        <w:pStyle w:val="ListParagraph"/>
        <w:numPr>
          <w:ilvl w:val="0"/>
          <w:numId w:val="2"/>
        </w:numPr>
        <w:spacing w:after="60"/>
      </w:pPr>
      <w:r>
        <w:t xml:space="preserve">Rate limiting per Section 13.1 (new).</w:t>
      </w:r>
    </w:p>
    <w:p>
      <w:pPr>
        <w:pStyle w:val="ListParagraph"/>
        <w:numPr>
          <w:ilvl w:val="0"/>
          <w:numId w:val="2"/>
        </w:numPr>
        <w:spacing w:after="60"/>
      </w:pPr>
      <w:r>
        <w:t xml:space="preserve">Dependency scanning in CI for known vulnerabilities (new).</w:t>
      </w:r>
    </w:p>
    <w:p>
      <w:pPr>
        <w:pStyle w:val="Heading2"/>
        <w:spacing w:after="140" w:before="280"/>
      </w:pPr>
      <w:r>
        <w:rPr>
          <w:b/>
          <w:bCs/>
          <w:color w:val="2E74B5"/>
        </w:rPr>
        <w:t xml:space="preserve">16.3 Reliability</w:t>
      </w:r>
    </w:p>
    <w:p>
      <w:pPr>
        <w:pStyle w:val="ListParagraph"/>
        <w:numPr>
          <w:ilvl w:val="0"/>
          <w:numId w:val="2"/>
        </w:numPr>
        <w:spacing w:after="60"/>
      </w:pPr>
      <w:r>
        <w:t xml:space="preserve">Gracefully handle missing market data, external API failures, invalid user input, model failures, and database failures.</w:t>
      </w:r>
    </w:p>
    <w:p>
      <w:pPr>
        <w:pStyle w:val="ListParagraph"/>
        <w:numPr>
          <w:ilvl w:val="0"/>
          <w:numId w:val="2"/>
        </w:numPr>
        <w:spacing w:after="60"/>
      </w:pPr>
      <w:r>
        <w:t xml:space="preserve">A failure in one subsystem should not crash the entire application.</w:t>
      </w:r>
    </w:p>
    <w:p>
      <w:pPr>
        <w:pStyle w:val="ListParagraph"/>
        <w:numPr>
          <w:ilvl w:val="0"/>
          <w:numId w:val="2"/>
        </w:numPr>
        <w:spacing w:after="60"/>
      </w:pPr>
      <w:r>
        <w:t xml:space="preserve">Data-provider abstraction (Section 7.3) allows Yahoo Finance to be swapped without changing downstream code (new).</w:t>
      </w:r>
    </w:p>
    <w:p>
      <w:pPr>
        <w:pStyle w:val="Heading2"/>
        <w:spacing w:after="140" w:before="280"/>
      </w:pPr>
      <w:r>
        <w:rPr>
          <w:b/>
          <w:bCs/>
          <w:color w:val="2E74B5"/>
        </w:rPr>
        <w:t xml:space="preserve">16.4 Scalability &amp; Observability (New)</w:t>
      </w:r>
    </w:p>
    <w:p>
      <w:pPr>
        <w:pStyle w:val="ListParagraph"/>
        <w:numPr>
          <w:ilvl w:val="0"/>
          <w:numId w:val="2"/>
        </w:numPr>
        <w:spacing w:after="60"/>
      </w:pPr>
      <w:r>
        <w:t xml:space="preserve">Stateless API layer so additional instances can be added behind a load balancer if needed.</w:t>
      </w:r>
    </w:p>
    <w:p>
      <w:pPr>
        <w:pStyle w:val="ListParagraph"/>
        <w:numPr>
          <w:ilvl w:val="0"/>
          <w:numId w:val="2"/>
        </w:numPr>
        <w:spacing w:after="60"/>
      </w:pPr>
      <w:r>
        <w:t xml:space="preserve">/health endpoint for liveness/readiness checks (Section 13.2).</w:t>
      </w:r>
    </w:p>
    <w:p>
      <w:pPr>
        <w:pStyle w:val="ListParagraph"/>
        <w:numPr>
          <w:ilvl w:val="0"/>
          <w:numId w:val="2"/>
        </w:numPr>
        <w:spacing w:after="60"/>
      </w:pPr>
      <w:r>
        <w:t xml:space="preserve">Structured (JSON) logs for all requests and background jobs; correlation ID per request for tracing across services.</w:t>
      </w:r>
    </w:p>
    <w:p>
      <w:pPr>
        <w:pStyle w:val="ListParagraph"/>
        <w:numPr>
          <w:ilvl w:val="0"/>
          <w:numId w:val="2"/>
        </w:numPr>
        <w:spacing w:after="60"/>
      </w:pPr>
      <w:r>
        <w:t xml:space="preserve">Basic metrics: request latency, error rate, ingestion job success rate, model prediction latency.</w:t>
      </w:r>
    </w:p>
    <w:p>
      <w:pPr>
        <w:pStyle w:val="Heading2"/>
        <w:spacing w:after="140" w:before="280"/>
      </w:pPr>
      <w:r>
        <w:rPr>
          <w:b/>
          <w:bCs/>
          <w:color w:val="2E74B5"/>
        </w:rPr>
        <w:t xml:space="preserve">16.5 Accessibility &amp; Usability (New)</w:t>
      </w:r>
    </w:p>
    <w:p>
      <w:pPr>
        <w:pStyle w:val="ListParagraph"/>
        <w:numPr>
          <w:ilvl w:val="0"/>
          <w:numId w:val="2"/>
        </w:numPr>
        <w:spacing w:after="60"/>
      </w:pPr>
      <w:r>
        <w:t xml:space="preserve">Dashboard meets WCAG 2.1 AA color-contrast guidance for key data (risk category, gains/losses).</w:t>
      </w:r>
    </w:p>
    <w:p>
      <w:pPr>
        <w:pStyle w:val="ListParagraph"/>
        <w:numPr>
          <w:ilvl w:val="0"/>
          <w:numId w:val="2"/>
        </w:numPr>
        <w:spacing w:after="60"/>
      </w:pPr>
      <w:r>
        <w:t xml:space="preserve">Charts include non-color indicators (labels/patterns) so information isn't conveyed by color alone.</w:t>
      </w:r>
    </w:p>
    <w:p>
      <w:r>
        <w:br w:type="page"/>
      </w:r>
    </w:p>
    <w:p>
      <w:pPr>
        <w:pStyle w:val="Heading1"/>
        <w:spacing w:after="200" w:before="400"/>
      </w:pPr>
      <w:r>
        <w:rPr>
          <w:b/>
          <w:bCs/>
          <w:color w:val="1F3864"/>
        </w:rPr>
        <w:t xml:space="preserve">17. Legal &amp; Compliance</w:t>
      </w:r>
    </w:p>
    <w:p>
      <w:pPr>
        <w:spacing w:after="120"/>
      </w:pPr>
      <w:r>
        <w:t xml:space="preserve">This is the most significant gap in the original draft: a system that scores financial risk and recommends portfolio allocations sits close to regulated investment-advice territory, even when positioned as educational. The following must be addressed before any real-user launch, and should be reflected in the UI from the MVP onward.</w:t>
      </w:r>
    </w:p>
    <w:p>
      <w:pPr>
        <w:pStyle w:val="Heading2"/>
        <w:spacing w:after="140" w:before="280"/>
      </w:pPr>
      <w:r>
        <w:rPr>
          <w:b/>
          <w:bCs/>
          <w:color w:val="2E74B5"/>
        </w:rPr>
        <w:t xml:space="preserve">17.1 Required Disclaimers</w:t>
      </w:r>
    </w:p>
    <w:p>
      <w:pPr>
        <w:pStyle w:val="ListParagraph"/>
        <w:numPr>
          <w:ilvl w:val="0"/>
          <w:numId w:val="2"/>
        </w:numPr>
        <w:spacing w:after="60"/>
      </w:pPr>
      <w:r>
        <w:t xml:space="preserve">A persistent, unmissable disclaimer that WealthPilotX does not provide licensed financial, investment, tax, or legal advice, and that outputs are for informational/educational purposes only.</w:t>
      </w:r>
    </w:p>
    <w:p>
      <w:pPr>
        <w:pStyle w:val="ListParagraph"/>
        <w:numPr>
          <w:ilvl w:val="0"/>
          <w:numId w:val="2"/>
        </w:numPr>
        <w:spacing w:after="60"/>
      </w:pPr>
      <w:r>
        <w:t xml:space="preserve">A disclaimer on every recommendation and prediction view stating that past performance and model outputs do not guarantee future results.</w:t>
      </w:r>
    </w:p>
    <w:p>
      <w:pPr>
        <w:pStyle w:val="ListParagraph"/>
        <w:numPr>
          <w:ilvl w:val="0"/>
          <w:numId w:val="2"/>
        </w:numPr>
        <w:spacing w:after="60"/>
      </w:pPr>
      <w:r>
        <w:t xml:space="preserve">Terms of Service and Privacy Policy accepted at registration, covering data usage described in Section 11.2.</w:t>
      </w:r>
    </w:p>
    <w:p>
      <w:pPr>
        <w:pStyle w:val="Heading2"/>
        <w:spacing w:after="140" w:before="280"/>
      </w:pPr>
      <w:r>
        <w:rPr>
          <w:b/>
          <w:bCs/>
          <w:color w:val="2E74B5"/>
        </w:rPr>
        <w:t xml:space="preserve">17.2 Regulatory Positioning</w:t>
      </w:r>
    </w:p>
    <w:p>
      <w:pPr>
        <w:pStyle w:val="ListParagraph"/>
        <w:numPr>
          <w:ilvl w:val="0"/>
          <w:numId w:val="2"/>
        </w:numPr>
        <w:spacing w:after="60"/>
      </w:pPr>
      <w:r>
        <w:t xml:space="preserve">Confirm jurisdiction-specific rules before any public launch — in many jurisdictions, personalized investment recommendations trigger registered investment adviser (or equivalent) obligations even from software. This PRD scopes WealthPilotX as a research/educational tool to stay outside that boundary; legal review is required before removing that positioning.</w:t>
      </w:r>
    </w:p>
    <w:p>
      <w:pPr>
        <w:pStyle w:val="ListParagraph"/>
        <w:numPr>
          <w:ilvl w:val="0"/>
          <w:numId w:val="2"/>
        </w:numPr>
        <w:spacing w:after="60"/>
      </w:pPr>
      <w:r>
        <w:t xml:space="preserve">If the product is used as an academic/capstone project, note that clearly in the app and keep it access-restricted (e.g., not a public production launch) until compliance review is complete.</w:t>
      </w:r>
    </w:p>
    <w:p>
      <w:pPr>
        <w:pStyle w:val="Heading2"/>
        <w:spacing w:after="140" w:before="280"/>
      </w:pPr>
      <w:r>
        <w:rPr>
          <w:b/>
          <w:bCs/>
          <w:color w:val="2E74B5"/>
        </w:rPr>
        <w:t xml:space="preserve">17.3 Data Protection</w:t>
      </w:r>
    </w:p>
    <w:p>
      <w:pPr>
        <w:pStyle w:val="ListParagraph"/>
        <w:numPr>
          <w:ilvl w:val="0"/>
          <w:numId w:val="2"/>
        </w:numPr>
        <w:spacing w:after="60"/>
      </w:pPr>
      <w:r>
        <w:t xml:space="preserve">See Section 11.2 (Data Architecture &amp; Governance) for the specific data-subject rights, retention, and third-party data-terms commitments.</w:t>
      </w:r>
    </w:p>
    <w:p>
      <w:pPr>
        <w:pStyle w:val="Heading1"/>
        <w:spacing w:after="200" w:before="400"/>
      </w:pPr>
      <w:r>
        <w:rPr>
          <w:b/>
          <w:bCs/>
          <w:color w:val="1F3864"/>
        </w:rPr>
        <w:t xml:space="preserve">18. ML Evaluation &amp; Model Governance</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3200"/>
        <w:gridCol w:w="6150"/>
      </w:tblGrid>
      <w:tr>
        <w:trPr>
          <w:tblHeader/>
        </w:trPr>
        <w:tc>
          <w:tcPr>
            <w:tcW w:type="dxa" w:w="32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Task</w:t>
            </w:r>
          </w:p>
        </w:tc>
        <w:tc>
          <w:tcPr>
            <w:tcW w:type="dxa" w:w="61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Metrics</w:t>
            </w:r>
          </w:p>
        </w:tc>
      </w:tr>
      <w:tr>
        <w:tc>
          <w:tcPr>
            <w:tcW w:type="dxa" w:w="3200"/>
            <w:tcMar>
              <w:top w:type="dxa" w:w="80"/>
              <w:left w:type="dxa" w:w="100"/>
              <w:bottom w:type="dxa" w:w="80"/>
              <w:right w:type="dxa" w:w="100"/>
            </w:tcMar>
            <w:vAlign w:val="center"/>
          </w:tcPr>
          <w:p>
            <w:pPr>
              <w:spacing w:after="0"/>
              <w:jc w:val="left"/>
            </w:pPr>
            <w:r>
              <w:rPr>
                <w:b w:val="false"/>
                <w:bCs w:val="false"/>
                <w:color w:val="000000"/>
                <w:sz w:val="20"/>
                <w:szCs w:val="20"/>
              </w:rPr>
              <w:t xml:space="preserve">Market Prediction</w:t>
            </w:r>
          </w:p>
        </w:tc>
        <w:tc>
          <w:tcPr>
            <w:tcW w:type="dxa" w:w="6150"/>
            <w:tcMar>
              <w:top w:type="dxa" w:w="80"/>
              <w:left w:type="dxa" w:w="100"/>
              <w:bottom w:type="dxa" w:w="80"/>
              <w:right w:type="dxa" w:w="100"/>
            </w:tcMar>
            <w:vAlign w:val="center"/>
          </w:tcPr>
          <w:p>
            <w:pPr>
              <w:spacing w:after="0"/>
              <w:jc w:val="left"/>
            </w:pPr>
            <w:r>
              <w:rPr>
                <w:b w:val="false"/>
                <w:bCs w:val="false"/>
                <w:color w:val="000000"/>
                <w:sz w:val="20"/>
                <w:szCs w:val="20"/>
              </w:rPr>
              <w:t xml:space="preserve">MAE, RMSE, R²</w:t>
            </w:r>
          </w:p>
        </w:tc>
      </w:tr>
      <w:tr>
        <w:tc>
          <w:tcPr>
            <w:tcW w:type="dxa" w:w="3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Risk Classification</w:t>
            </w:r>
          </w:p>
        </w:tc>
        <w:tc>
          <w:tcPr>
            <w:tcW w:type="dxa" w:w="61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Accuracy, Precision, Recall, F1</w:t>
            </w:r>
          </w:p>
        </w:tc>
      </w:tr>
      <w:tr>
        <w:tc>
          <w:tcPr>
            <w:tcW w:type="dxa" w:w="3200"/>
            <w:tcMar>
              <w:top w:type="dxa" w:w="80"/>
              <w:left w:type="dxa" w:w="100"/>
              <w:bottom w:type="dxa" w:w="80"/>
              <w:right w:type="dxa" w:w="100"/>
            </w:tcMar>
            <w:vAlign w:val="center"/>
          </w:tcPr>
          <w:p>
            <w:pPr>
              <w:spacing w:after="0"/>
              <w:jc w:val="left"/>
            </w:pPr>
            <w:r>
              <w:rPr>
                <w:b w:val="false"/>
                <w:bCs w:val="false"/>
                <w:color w:val="000000"/>
                <w:sz w:val="20"/>
                <w:szCs w:val="20"/>
              </w:rPr>
              <w:t xml:space="preserve">Recommendation</w:t>
            </w:r>
          </w:p>
        </w:tc>
        <w:tc>
          <w:tcPr>
            <w:tcW w:type="dxa" w:w="6150"/>
            <w:tcMar>
              <w:top w:type="dxa" w:w="80"/>
              <w:left w:type="dxa" w:w="100"/>
              <w:bottom w:type="dxa" w:w="80"/>
              <w:right w:type="dxa" w:w="100"/>
            </w:tcMar>
            <w:vAlign w:val="center"/>
          </w:tcPr>
          <w:p>
            <w:pPr>
              <w:spacing w:after="0"/>
              <w:jc w:val="left"/>
            </w:pPr>
            <w:r>
              <w:rPr>
                <w:b w:val="false"/>
                <w:bCs w:val="false"/>
                <w:color w:val="000000"/>
                <w:sz w:val="20"/>
                <w:szCs w:val="20"/>
              </w:rPr>
              <w:t xml:space="preserve">Precision@K, Recall@K, NDCG</w:t>
            </w:r>
          </w:p>
        </w:tc>
      </w:tr>
    </w:tbl>
    <w:tbl>
      <w:tblPr>
        <w:tblW w:type="dxa" w:w="9350"/>
        <w:tblBorders>
          <w:top w:val="single" w:color="2E74B5" w:sz="4"/>
          <w:left w:val="single" w:color="2E74B5" w:sz="4"/>
          <w:bottom w:val="single" w:color="2E74B5" w:sz="4"/>
          <w:right w:val="single" w:color="2E74B5" w:sz="4"/>
          <w:insideH w:val="none"/>
          <w:insideV w:val="none"/>
        </w:tblBorders>
      </w:tblPr>
      <w:tblGrid>
        <w:gridCol w:w="100"/>
      </w:tblGrid>
      <w:tr>
        <w:tc>
          <w:tcPr>
            <w:tcW w:type="dxa" w:w="9350"/>
            <w:shd w:fill="EAF1FA" w:color="auto" w:val="clear"/>
            <w:tcMar>
              <w:top w:type="dxa" w:w="120"/>
              <w:left w:type="dxa" w:w="160"/>
              <w:bottom w:type="dxa" w:w="120"/>
              <w:right w:type="dxa" w:w="160"/>
            </w:tcMar>
          </w:tcPr>
          <w:p>
            <w:pPr>
              <w:spacing w:after="60"/>
            </w:pPr>
            <w:r>
              <w:rPr>
                <w:b/>
                <w:bCs/>
                <w:color w:val="1F3864"/>
              </w:rPr>
              <w:t xml:space="preserve">Reported metrics discipline</w:t>
            </w:r>
          </w:p>
          <w:p>
            <w:r>
              <w:t xml:space="preserve">The source report referenced example metric values such as R² = 0.95 and risk accuracy = 94.8%. These are treated strictly as example/target values until reproduced through actual experiments on this project's own data. The final report must publish real measured results, including the train/test split methodology and any data leakage checks performed.</w:t>
            </w:r>
          </w:p>
        </w:tc>
      </w:tr>
    </w:tbl>
    <w:p>
      <w:pPr>
        <w:spacing w:after="120"/>
      </w:pPr>
      <w:r>
        <w:t xml:space="preserve">Model promotion follows the lifecycle defined in Section 10.5: no model is promoted to production without beating the current baseline on a held-out test set, and every served prediction carries its model_version.</w:t>
      </w:r>
    </w:p>
    <w:p>
      <w:pPr>
        <w:pStyle w:val="Heading1"/>
        <w:spacing w:after="200" w:before="400"/>
      </w:pPr>
      <w:r>
        <w:rPr>
          <w:b/>
          <w:bCs/>
          <w:color w:val="1F3864"/>
        </w:rPr>
        <w:t xml:space="preserve">19. Backtesting</w:t>
      </w:r>
    </w:p>
    <w:p>
      <w:pPr>
        <w:spacing w:after="120"/>
      </w:pPr>
      <w:r>
        <w:t xml:space="preserve">The implemented system should include historical backtesting so that portfolio recommendations can be evaluated rather than only described.</w:t>
      </w:r>
    </w:p>
    <w:p>
      <w:pPr>
        <w:pStyle w:val="ListParagraph"/>
        <w:numPr>
          <w:ilvl w:val="0"/>
          <w:numId w:val="2"/>
        </w:numPr>
        <w:spacing w:after="60"/>
      </w:pPr>
      <w:r>
        <w:t xml:space="preserve">Use a training period and a separate, non-overlapping backtest period.</w:t>
      </w:r>
    </w:p>
    <w:p>
      <w:pPr>
        <w:pStyle w:val="ListParagraph"/>
        <w:numPr>
          <w:ilvl w:val="0"/>
          <w:numId w:val="2"/>
        </w:numPr>
        <w:spacing w:after="60"/>
      </w:pPr>
      <w:r>
        <w:t xml:space="preserve">Compare the WealthPilotX portfolio with a market benchmark (e.g., a broad index).</w:t>
      </w:r>
    </w:p>
    <w:p>
      <w:pPr>
        <w:pStyle w:val="ListParagraph"/>
        <w:numPr>
          <w:ilvl w:val="0"/>
          <w:numId w:val="2"/>
        </w:numPr>
        <w:spacing w:after="60"/>
      </w:pPr>
      <w:r>
        <w:t xml:space="preserve">Evaluate Total Return, Annualized Return, Volatility, Sharpe Ratio, and Maximum Drawdown.</w:t>
      </w:r>
    </w:p>
    <w:p>
      <w:pPr>
        <w:pStyle w:val="ListParagraph"/>
        <w:numPr>
          <w:ilvl w:val="0"/>
          <w:numId w:val="2"/>
        </w:numPr>
        <w:spacing w:after="60"/>
      </w:pPr>
      <w:r>
        <w:t xml:space="preserve">Report transaction-cost assumptions used in the backtest, even if simplified (new — needed so results aren't misleadingly frictionless).</w:t>
      </w:r>
    </w:p>
    <w:p>
      <w:r>
        <w:br w:type="page"/>
      </w:r>
    </w:p>
    <w:p>
      <w:pPr>
        <w:pStyle w:val="Heading1"/>
        <w:spacing w:after="200" w:before="400"/>
      </w:pPr>
      <w:r>
        <w:rPr>
          <w:b/>
          <w:bCs/>
          <w:color w:val="1F3864"/>
        </w:rPr>
        <w:t xml:space="preserve">20. Testing Strategy</w:t>
      </w:r>
    </w:p>
    <w:p>
      <w:pPr>
        <w:spacing w:after="120"/>
      </w:pPr>
      <w:r>
        <w:t xml:space="preserve">Not present in the original PRD. The following layers apply across the stack:</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900"/>
        <w:gridCol w:w="4550"/>
        <w:gridCol w:w="2900"/>
      </w:tblGrid>
      <w:tr>
        <w:trPr>
          <w:tblHeader/>
        </w:trPr>
        <w:tc>
          <w:tcPr>
            <w:tcW w:type="dxa" w:w="19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Layer</w:t>
            </w:r>
          </w:p>
        </w:tc>
        <w:tc>
          <w:tcPr>
            <w:tcW w:type="dxa" w:w="45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Approach</w:t>
            </w:r>
          </w:p>
        </w:tc>
        <w:tc>
          <w:tcPr>
            <w:tcW w:type="dxa" w:w="29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Tooling</w:t>
            </w:r>
          </w:p>
        </w:tc>
      </w:tr>
      <w:tr>
        <w:tc>
          <w:tcPr>
            <w:tcW w:type="dxa" w:w="1900"/>
            <w:tcMar>
              <w:top w:type="dxa" w:w="80"/>
              <w:left w:type="dxa" w:w="100"/>
              <w:bottom w:type="dxa" w:w="80"/>
              <w:right w:type="dxa" w:w="100"/>
            </w:tcMar>
            <w:vAlign w:val="center"/>
          </w:tcPr>
          <w:p>
            <w:pPr>
              <w:spacing w:after="0"/>
              <w:jc w:val="left"/>
            </w:pPr>
            <w:r>
              <w:rPr>
                <w:b w:val="false"/>
                <w:bCs w:val="false"/>
                <w:color w:val="000000"/>
                <w:sz w:val="20"/>
                <w:szCs w:val="20"/>
              </w:rPr>
              <w:t xml:space="preserve">Unit tests</w:t>
            </w:r>
          </w:p>
        </w:tc>
        <w:tc>
          <w:tcPr>
            <w:tcW w:type="dxa" w:w="4550"/>
            <w:tcMar>
              <w:top w:type="dxa" w:w="80"/>
              <w:left w:type="dxa" w:w="100"/>
              <w:bottom w:type="dxa" w:w="80"/>
              <w:right w:type="dxa" w:w="100"/>
            </w:tcMar>
            <w:vAlign w:val="center"/>
          </w:tcPr>
          <w:p>
            <w:pPr>
              <w:spacing w:after="0"/>
              <w:jc w:val="left"/>
            </w:pPr>
            <w:r>
              <w:rPr>
                <w:b w:val="false"/>
                <w:bCs w:val="false"/>
                <w:color w:val="000000"/>
                <w:sz w:val="20"/>
                <w:szCs w:val="20"/>
              </w:rPr>
              <w:t xml:space="preserve">Backend business logic, data-processing functions, feature-engineering functions</w:t>
            </w:r>
          </w:p>
        </w:tc>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Pytest</w:t>
            </w:r>
          </w:p>
        </w:tc>
      </w:tr>
      <w:tr>
        <w:tc>
          <w:tcPr>
            <w:tcW w:type="dxa" w:w="1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Model tests</w:t>
            </w:r>
          </w:p>
        </w:tc>
        <w:tc>
          <w:tcPr>
            <w:tcW w:type="dxa" w:w="45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Input/output shape and range checks (e.g., risk score in expected bounds), regression tests against a fixed evaluation set to catch silent quality drops between retrains</w:t>
            </w:r>
          </w:p>
        </w:tc>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Pytest + saved fixture datasets</w:t>
            </w:r>
          </w:p>
        </w:tc>
      </w:tr>
      <w:tr>
        <w:tc>
          <w:tcPr>
            <w:tcW w:type="dxa" w:w="1900"/>
            <w:tcMar>
              <w:top w:type="dxa" w:w="80"/>
              <w:left w:type="dxa" w:w="100"/>
              <w:bottom w:type="dxa" w:w="80"/>
              <w:right w:type="dxa" w:w="100"/>
            </w:tcMar>
            <w:vAlign w:val="center"/>
          </w:tcPr>
          <w:p>
            <w:pPr>
              <w:spacing w:after="0"/>
              <w:jc w:val="left"/>
            </w:pPr>
            <w:r>
              <w:rPr>
                <w:b w:val="false"/>
                <w:bCs w:val="false"/>
                <w:color w:val="000000"/>
                <w:sz w:val="20"/>
                <w:szCs w:val="20"/>
              </w:rPr>
              <w:t xml:space="preserve">Integration tests</w:t>
            </w:r>
          </w:p>
        </w:tc>
        <w:tc>
          <w:tcPr>
            <w:tcW w:type="dxa" w:w="4550"/>
            <w:tcMar>
              <w:top w:type="dxa" w:w="80"/>
              <w:left w:type="dxa" w:w="100"/>
              <w:bottom w:type="dxa" w:w="80"/>
              <w:right w:type="dxa" w:w="100"/>
            </w:tcMar>
            <w:vAlign w:val="center"/>
          </w:tcPr>
          <w:p>
            <w:pPr>
              <w:spacing w:after="0"/>
              <w:jc w:val="left"/>
            </w:pPr>
            <w:r>
              <w:rPr>
                <w:b w:val="false"/>
                <w:bCs w:val="false"/>
                <w:color w:val="000000"/>
                <w:sz w:val="20"/>
                <w:szCs w:val="20"/>
              </w:rPr>
              <w:t xml:space="preserve">API endpoints against a test database; data pipeline end-to-end on a small fixture dataset</w:t>
            </w:r>
          </w:p>
        </w:tc>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Pytest + FastAPI TestClient</w:t>
            </w:r>
          </w:p>
        </w:tc>
      </w:tr>
      <w:tr>
        <w:tc>
          <w:tcPr>
            <w:tcW w:type="dxa" w:w="1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Frontend tests</w:t>
            </w:r>
          </w:p>
        </w:tc>
        <w:tc>
          <w:tcPr>
            <w:tcW w:type="dxa" w:w="45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Component rendering and key user flows (login, onboarding, dashboard load)</w:t>
            </w:r>
          </w:p>
        </w:tc>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Vitest + React Testing Library</w:t>
            </w:r>
          </w:p>
        </w:tc>
      </w:tr>
      <w:tr>
        <w:tc>
          <w:tcPr>
            <w:tcW w:type="dxa" w:w="1900"/>
            <w:tcMar>
              <w:top w:type="dxa" w:w="80"/>
              <w:left w:type="dxa" w:w="100"/>
              <w:bottom w:type="dxa" w:w="80"/>
              <w:right w:type="dxa" w:w="100"/>
            </w:tcMar>
            <w:vAlign w:val="center"/>
          </w:tcPr>
          <w:p>
            <w:pPr>
              <w:spacing w:after="0"/>
              <w:jc w:val="left"/>
            </w:pPr>
            <w:r>
              <w:rPr>
                <w:b w:val="false"/>
                <w:bCs w:val="false"/>
                <w:color w:val="000000"/>
                <w:sz w:val="20"/>
                <w:szCs w:val="20"/>
              </w:rPr>
              <w:t xml:space="preserve">End-to-end tests</w:t>
            </w:r>
          </w:p>
        </w:tc>
        <w:tc>
          <w:tcPr>
            <w:tcW w:type="dxa" w:w="4550"/>
            <w:tcMar>
              <w:top w:type="dxa" w:w="80"/>
              <w:left w:type="dxa" w:w="100"/>
              <w:bottom w:type="dxa" w:w="80"/>
              <w:right w:type="dxa" w:w="100"/>
            </w:tcMar>
            <w:vAlign w:val="center"/>
          </w:tcPr>
          <w:p>
            <w:pPr>
              <w:spacing w:after="0"/>
              <w:jc w:val="left"/>
            </w:pPr>
            <w:r>
              <w:rPr>
                <w:b w:val="false"/>
                <w:bCs w:val="false"/>
                <w:color w:val="000000"/>
                <w:sz w:val="20"/>
                <w:szCs w:val="20"/>
              </w:rPr>
              <w:t xml:space="preserve">Register → profile → risk assessment → recommendation → dashboard, run against a staging environment</w:t>
            </w:r>
          </w:p>
        </w:tc>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Playwright (or Cypress)</w:t>
            </w:r>
          </w:p>
        </w:tc>
      </w:tr>
      <w:tr>
        <w:tc>
          <w:tcPr>
            <w:tcW w:type="dxa" w:w="1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Manual QA</w:t>
            </w:r>
          </w:p>
        </w:tc>
        <w:tc>
          <w:tcPr>
            <w:tcW w:type="dxa" w:w="45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Exploratory pass on each milestone deliverable before demo/sign-off</w:t>
            </w:r>
          </w:p>
        </w:tc>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Checklist per milestone</w:t>
            </w:r>
          </w:p>
        </w:tc>
      </w:tr>
    </w:tbl>
    <w:p>
      <w:pPr>
        <w:spacing w:after="120"/>
      </w:pPr>
      <w:r>
        <w:t xml:space="preserve">Definition of done for any Functional Requirement in Section 9 includes: implementation complete, unit/integration tests passing in CI, and the requirement's acceptance criteria manually verified.</w:t>
      </w:r>
    </w:p>
    <w:p>
      <w:pPr>
        <w:pStyle w:val="Heading1"/>
        <w:spacing w:after="200" w:before="400"/>
      </w:pPr>
      <w:r>
        <w:rPr>
          <w:b/>
          <w:bCs/>
          <w:color w:val="1F3864"/>
        </w:rPr>
        <w:t xml:space="preserve">21. MVP Scope &amp; Prioritization</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700"/>
        <w:gridCol w:w="7650"/>
      </w:tblGrid>
      <w:tr>
        <w:trPr>
          <w:tblHeader/>
        </w:trPr>
        <w:tc>
          <w:tcPr>
            <w:tcW w:type="dxa" w:w="17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Priority</w:t>
            </w:r>
          </w:p>
        </w:tc>
        <w:tc>
          <w:tcPr>
            <w:tcW w:type="dxa" w:w="76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Features</w:t>
            </w:r>
          </w:p>
        </w:tc>
      </w:tr>
      <w:tr>
        <w:tc>
          <w:tcPr>
            <w:tcW w:type="dxa" w:w="1700"/>
            <w:tcMar>
              <w:top w:type="dxa" w:w="80"/>
              <w:left w:type="dxa" w:w="100"/>
              <w:bottom w:type="dxa" w:w="80"/>
              <w:right w:type="dxa" w:w="100"/>
            </w:tcMar>
            <w:vAlign w:val="center"/>
          </w:tcPr>
          <w:p>
            <w:pPr>
              <w:spacing w:after="0"/>
              <w:jc w:val="left"/>
            </w:pPr>
            <w:r>
              <w:rPr>
                <w:b w:val="false"/>
                <w:bCs w:val="false"/>
                <w:color w:val="000000"/>
                <w:sz w:val="20"/>
                <w:szCs w:val="20"/>
              </w:rPr>
              <w:t xml:space="preserve">Must Have</w:t>
            </w:r>
          </w:p>
        </w:tc>
        <w:tc>
          <w:tcPr>
            <w:tcW w:type="dxa" w:w="7650"/>
            <w:tcMar>
              <w:top w:type="dxa" w:w="80"/>
              <w:left w:type="dxa" w:w="100"/>
              <w:bottom w:type="dxa" w:w="80"/>
              <w:right w:type="dxa" w:w="100"/>
            </w:tcMar>
            <w:vAlign w:val="center"/>
          </w:tcPr>
          <w:p>
            <w:pPr>
              <w:spacing w:after="0"/>
              <w:jc w:val="left"/>
            </w:pPr>
            <w:r>
              <w:rPr>
                <w:b w:val="false"/>
                <w:bCs w:val="false"/>
                <w:color w:val="000000"/>
                <w:sz w:val="20"/>
                <w:szCs w:val="20"/>
              </w:rPr>
              <w:t xml:space="preserve">Authentication; financial profile; market data ingestion; PostgreSQL; preprocessing; feature engineering; risk classification; market prediction; portfolio recommendation; portfolio optimization; dashboard; legal disclaimers (Section 17).</w:t>
            </w:r>
          </w:p>
        </w:tc>
      </w:tr>
      <w:tr>
        <w:tc>
          <w:tcPr>
            <w:tcW w:type="dxa" w:w="17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Should Have</w:t>
            </w:r>
          </w:p>
        </w:tc>
        <w:tc>
          <w:tcPr>
            <w:tcW w:type="dxa" w:w="76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Explainability; backtesting; portfolio history; model evaluation dashboard.</w:t>
            </w:r>
          </w:p>
        </w:tc>
      </w:tr>
      <w:tr>
        <w:tc>
          <w:tcPr>
            <w:tcW w:type="dxa" w:w="1700"/>
            <w:tcMar>
              <w:top w:type="dxa" w:w="80"/>
              <w:left w:type="dxa" w:w="100"/>
              <w:bottom w:type="dxa" w:w="80"/>
              <w:right w:type="dxa" w:w="100"/>
            </w:tcMar>
            <w:vAlign w:val="center"/>
          </w:tcPr>
          <w:p>
            <w:pPr>
              <w:spacing w:after="0"/>
              <w:jc w:val="left"/>
            </w:pPr>
            <w:r>
              <w:rPr>
                <w:b w:val="false"/>
                <w:bCs w:val="false"/>
                <w:color w:val="000000"/>
                <w:sz w:val="20"/>
                <w:szCs w:val="20"/>
              </w:rPr>
              <w:t xml:space="preserve">Could Have</w:t>
            </w:r>
          </w:p>
        </w:tc>
        <w:tc>
          <w:tcPr>
            <w:tcW w:type="dxa" w:w="7650"/>
            <w:tcMar>
              <w:top w:type="dxa" w:w="80"/>
              <w:left w:type="dxa" w:w="100"/>
              <w:bottom w:type="dxa" w:w="80"/>
              <w:right w:type="dxa" w:w="100"/>
            </w:tcMar>
            <w:vAlign w:val="center"/>
          </w:tcPr>
          <w:p>
            <w:pPr>
              <w:spacing w:after="0"/>
              <w:jc w:val="left"/>
            </w:pPr>
            <w:r>
              <w:rPr>
                <w:b w:val="false"/>
                <w:bCs w:val="false"/>
                <w:color w:val="000000"/>
                <w:sz w:val="20"/>
                <w:szCs w:val="20"/>
              </w:rPr>
              <w:t xml:space="preserve">Fairness dashboard; LLM financial assistant; real-time market updates; automated model retraining; deep learning; reinforcement learning.</w:t>
            </w:r>
          </w:p>
        </w:tc>
      </w:tr>
    </w:tbl>
    <w:p>
      <w:pPr>
        <w:pStyle w:val="Heading1"/>
        <w:spacing w:after="200" w:before="400"/>
      </w:pPr>
      <w:r>
        <w:rPr>
          <w:b/>
          <w:bCs/>
          <w:color w:val="1F3864"/>
        </w:rPr>
        <w:t xml:space="preserve">22. Development Milestones &amp; Timeline</w:t>
      </w:r>
    </w:p>
    <w:p>
      <w:pPr>
        <w:spacing w:after="120"/>
      </w:pPr>
      <w:r>
        <w:t xml:space="preserve">Duration estimates assume a single developer working part-time (student/solo-project pace); adjust down if working with a team.</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200"/>
        <w:gridCol w:w="5500"/>
        <w:gridCol w:w="1650"/>
      </w:tblGrid>
      <w:tr>
        <w:trPr>
          <w:tblHeader/>
        </w:trPr>
        <w:tc>
          <w:tcPr>
            <w:tcW w:type="dxa" w:w="22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Milestone</w:t>
            </w:r>
          </w:p>
        </w:tc>
        <w:tc>
          <w:tcPr>
            <w:tcW w:type="dxa" w:w="55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Deliverables</w:t>
            </w:r>
          </w:p>
        </w:tc>
        <w:tc>
          <w:tcPr>
            <w:tcW w:type="dxa" w:w="16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Est. Duration</w:t>
            </w:r>
          </w:p>
        </w:tc>
      </w:tr>
      <w:tr>
        <w:tc>
          <w:tcPr>
            <w:tcW w:type="dxa" w:w="2200"/>
            <w:tcMar>
              <w:top w:type="dxa" w:w="80"/>
              <w:left w:type="dxa" w:w="100"/>
              <w:bottom w:type="dxa" w:w="80"/>
              <w:right w:type="dxa" w:w="100"/>
            </w:tcMar>
            <w:vAlign w:val="center"/>
          </w:tcPr>
          <w:p>
            <w:pPr>
              <w:spacing w:after="0"/>
              <w:jc w:val="left"/>
            </w:pPr>
            <w:r>
              <w:rPr>
                <w:b w:val="false"/>
                <w:bCs w:val="false"/>
                <w:color w:val="000000"/>
                <w:sz w:val="20"/>
                <w:szCs w:val="20"/>
              </w:rPr>
              <w:t xml:space="preserve">M1 — Foundation</w:t>
            </w:r>
          </w:p>
        </w:tc>
        <w:tc>
          <w:tcPr>
            <w:tcW w:type="dxa" w:w="5500"/>
            <w:tcMar>
              <w:top w:type="dxa" w:w="80"/>
              <w:left w:type="dxa" w:w="100"/>
              <w:bottom w:type="dxa" w:w="80"/>
              <w:right w:type="dxa" w:w="100"/>
            </w:tcMar>
            <w:vAlign w:val="center"/>
          </w:tcPr>
          <w:p>
            <w:pPr>
              <w:spacing w:after="0"/>
              <w:jc w:val="left"/>
            </w:pPr>
            <w:r>
              <w:rPr>
                <w:b w:val="false"/>
                <w:bCs w:val="false"/>
                <w:color w:val="000000"/>
                <w:sz w:val="20"/>
                <w:szCs w:val="20"/>
              </w:rPr>
              <w:t xml:space="preserve">Project setup, Docker, PostgreSQL, FastAPI, React, authentication, legal disclaimer placeholders.</w:t>
            </w:r>
          </w:p>
        </w:tc>
        <w:tc>
          <w:tcPr>
            <w:tcW w:type="dxa" w:w="1650"/>
            <w:tcMar>
              <w:top w:type="dxa" w:w="80"/>
              <w:left w:type="dxa" w:w="100"/>
              <w:bottom w:type="dxa" w:w="80"/>
              <w:right w:type="dxa" w:w="100"/>
            </w:tcMar>
            <w:vAlign w:val="center"/>
          </w:tcPr>
          <w:p>
            <w:pPr>
              <w:spacing w:after="0"/>
              <w:jc w:val="left"/>
            </w:pPr>
            <w:r>
              <w:rPr>
                <w:b w:val="false"/>
                <w:bCs w:val="false"/>
                <w:color w:val="000000"/>
                <w:sz w:val="20"/>
                <w:szCs w:val="20"/>
              </w:rPr>
              <w:t xml:space="preserve">1–2 weeks</w:t>
            </w:r>
          </w:p>
        </w:tc>
      </w:tr>
      <w:tr>
        <w:tc>
          <w:tcPr>
            <w:tcW w:type="dxa" w:w="2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M2 — Data Platform</w:t>
            </w:r>
          </w:p>
        </w:tc>
        <w:tc>
          <w:tcPr>
            <w:tcW w:type="dxa" w:w="55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Market data ingestion, economic data ingestion, cleaning, database storage, data-provider abstraction (Section 7.3).</w:t>
            </w:r>
          </w:p>
        </w:tc>
        <w:tc>
          <w:tcPr>
            <w:tcW w:type="dxa" w:w="16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2 weeks</w:t>
            </w:r>
          </w:p>
        </w:tc>
      </w:tr>
      <w:tr>
        <w:tc>
          <w:tcPr>
            <w:tcW w:type="dxa" w:w="2200"/>
            <w:tcMar>
              <w:top w:type="dxa" w:w="80"/>
              <w:left w:type="dxa" w:w="100"/>
              <w:bottom w:type="dxa" w:w="80"/>
              <w:right w:type="dxa" w:w="100"/>
            </w:tcMar>
            <w:vAlign w:val="center"/>
          </w:tcPr>
          <w:p>
            <w:pPr>
              <w:spacing w:after="0"/>
              <w:jc w:val="left"/>
            </w:pPr>
            <w:r>
              <w:rPr>
                <w:b w:val="false"/>
                <w:bCs w:val="false"/>
                <w:color w:val="000000"/>
                <w:sz w:val="20"/>
                <w:szCs w:val="20"/>
              </w:rPr>
              <w:t xml:space="preserve">M3 — ML</w:t>
            </w:r>
          </w:p>
        </w:tc>
        <w:tc>
          <w:tcPr>
            <w:tcW w:type="dxa" w:w="5500"/>
            <w:tcMar>
              <w:top w:type="dxa" w:w="80"/>
              <w:left w:type="dxa" w:w="100"/>
              <w:bottom w:type="dxa" w:w="80"/>
              <w:right w:type="dxa" w:w="100"/>
            </w:tcMar>
            <w:vAlign w:val="center"/>
          </w:tcPr>
          <w:p>
            <w:pPr>
              <w:spacing w:after="0"/>
              <w:jc w:val="left"/>
            </w:pPr>
            <w:r>
              <w:rPr>
                <w:b w:val="false"/>
                <w:bCs w:val="false"/>
                <w:color w:val="000000"/>
                <w:sz w:val="20"/>
                <w:szCs w:val="20"/>
              </w:rPr>
              <w:t xml:space="preserve">Feature engineering, risk model, market prediction model, model evaluation, model registry (Section 10.5).</w:t>
            </w:r>
          </w:p>
        </w:tc>
        <w:tc>
          <w:tcPr>
            <w:tcW w:type="dxa" w:w="1650"/>
            <w:tcMar>
              <w:top w:type="dxa" w:w="80"/>
              <w:left w:type="dxa" w:w="100"/>
              <w:bottom w:type="dxa" w:w="80"/>
              <w:right w:type="dxa" w:w="100"/>
            </w:tcMar>
            <w:vAlign w:val="center"/>
          </w:tcPr>
          <w:p>
            <w:pPr>
              <w:spacing w:after="0"/>
              <w:jc w:val="left"/>
            </w:pPr>
            <w:r>
              <w:rPr>
                <w:b w:val="false"/>
                <w:bCs w:val="false"/>
                <w:color w:val="000000"/>
                <w:sz w:val="20"/>
                <w:szCs w:val="20"/>
              </w:rPr>
              <w:t xml:space="preserve">2–3 weeks</w:t>
            </w:r>
          </w:p>
        </w:tc>
      </w:tr>
      <w:tr>
        <w:tc>
          <w:tcPr>
            <w:tcW w:type="dxa" w:w="2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M4 — Recommendation</w:t>
            </w:r>
          </w:p>
        </w:tc>
        <w:tc>
          <w:tcPr>
            <w:tcW w:type="dxa" w:w="55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Asset scoring, recommendation engine, portfolio optimization, backtesting.</w:t>
            </w:r>
          </w:p>
        </w:tc>
        <w:tc>
          <w:tcPr>
            <w:tcW w:type="dxa" w:w="16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2–3 weeks</w:t>
            </w:r>
          </w:p>
        </w:tc>
      </w:tr>
      <w:tr>
        <w:tc>
          <w:tcPr>
            <w:tcW w:type="dxa" w:w="2200"/>
            <w:tcMar>
              <w:top w:type="dxa" w:w="80"/>
              <w:left w:type="dxa" w:w="100"/>
              <w:bottom w:type="dxa" w:w="80"/>
              <w:right w:type="dxa" w:w="100"/>
            </w:tcMar>
            <w:vAlign w:val="center"/>
          </w:tcPr>
          <w:p>
            <w:pPr>
              <w:spacing w:after="0"/>
              <w:jc w:val="left"/>
            </w:pPr>
            <w:r>
              <w:rPr>
                <w:b w:val="false"/>
                <w:bCs w:val="false"/>
                <w:color w:val="000000"/>
                <w:sz w:val="20"/>
                <w:szCs w:val="20"/>
              </w:rPr>
              <w:t xml:space="preserve">M5 — UI</w:t>
            </w:r>
          </w:p>
        </w:tc>
        <w:tc>
          <w:tcPr>
            <w:tcW w:type="dxa" w:w="5500"/>
            <w:tcMar>
              <w:top w:type="dxa" w:w="80"/>
              <w:left w:type="dxa" w:w="100"/>
              <w:bottom w:type="dxa" w:w="80"/>
              <w:right w:type="dxa" w:w="100"/>
            </w:tcMar>
            <w:vAlign w:val="center"/>
          </w:tcPr>
          <w:p>
            <w:pPr>
              <w:spacing w:after="0"/>
              <w:jc w:val="left"/>
            </w:pPr>
            <w:r>
              <w:rPr>
                <w:b w:val="false"/>
                <w:bCs w:val="false"/>
                <w:color w:val="000000"/>
                <w:sz w:val="20"/>
                <w:szCs w:val="20"/>
              </w:rPr>
              <w:t xml:space="preserve">Dashboard, market charts, risk visualization, portfolio visualization, recommendation explanation, settings/privacy page.</w:t>
            </w:r>
          </w:p>
        </w:tc>
        <w:tc>
          <w:tcPr>
            <w:tcW w:type="dxa" w:w="1650"/>
            <w:tcMar>
              <w:top w:type="dxa" w:w="80"/>
              <w:left w:type="dxa" w:w="100"/>
              <w:bottom w:type="dxa" w:w="80"/>
              <w:right w:type="dxa" w:w="100"/>
            </w:tcMar>
            <w:vAlign w:val="center"/>
          </w:tcPr>
          <w:p>
            <w:pPr>
              <w:spacing w:after="0"/>
              <w:jc w:val="left"/>
            </w:pPr>
            <w:r>
              <w:rPr>
                <w:b w:val="false"/>
                <w:bCs w:val="false"/>
                <w:color w:val="000000"/>
                <w:sz w:val="20"/>
                <w:szCs w:val="20"/>
              </w:rPr>
              <w:t xml:space="preserve">2 weeks</w:t>
            </w:r>
          </w:p>
        </w:tc>
      </w:tr>
      <w:tr>
        <w:tc>
          <w:tcPr>
            <w:tcW w:type="dxa" w:w="22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M6 — Advanced AI &amp; Hardening</w:t>
            </w:r>
          </w:p>
        </w:tc>
        <w:tc>
          <w:tcPr>
            <w:tcW w:type="dxa" w:w="55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SHAP, fairness evaluation, LLM assistant (optional), model monitoring, security/dependency review, test coverage pass.</w:t>
            </w:r>
          </w:p>
        </w:tc>
        <w:tc>
          <w:tcPr>
            <w:tcW w:type="dxa" w:w="16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2–3 weeks</w:t>
            </w:r>
          </w:p>
        </w:tc>
      </w:tr>
    </w:tbl>
    <w:p>
      <w:pPr>
        <w:spacing w:after="120"/>
      </w:pPr>
      <w:r>
        <w:t xml:space="preserve">Total estimated timeline: roughly 11–15 weeks end-to-end at solo/part-time pace, excluding the Could-Have items, which can extend beyond M6 as stretch goals.</w:t>
      </w:r>
    </w:p>
    <w:p>
      <w:r>
        <w:br w:type="page"/>
      </w:r>
    </w:p>
    <w:p>
      <w:pPr>
        <w:pStyle w:val="Heading1"/>
        <w:spacing w:after="200" w:before="400"/>
      </w:pPr>
      <w:r>
        <w:rPr>
          <w:b/>
          <w:bCs/>
          <w:color w:val="1F3864"/>
        </w:rPr>
        <w:t xml:space="preserve">23. Success Criteria / Definition of Done</w:t>
      </w:r>
    </w:p>
    <w:p>
      <w:pPr>
        <w:pStyle w:val="ListParagraph"/>
        <w:numPr>
          <w:ilvl w:val="0"/>
          <w:numId w:val="2"/>
        </w:numPr>
        <w:spacing w:after="60"/>
      </w:pPr>
      <w:r>
        <w:t xml:space="preserve">A user can create an account.</w:t>
      </w:r>
    </w:p>
    <w:p>
      <w:pPr>
        <w:pStyle w:val="ListParagraph"/>
        <w:numPr>
          <w:ilvl w:val="0"/>
          <w:numId w:val="2"/>
        </w:numPr>
        <w:spacing w:after="60"/>
      </w:pPr>
      <w:r>
        <w:t xml:space="preserve">The user can enter financial information.</w:t>
      </w:r>
    </w:p>
    <w:p>
      <w:pPr>
        <w:pStyle w:val="ListParagraph"/>
        <w:numPr>
          <w:ilvl w:val="0"/>
          <w:numId w:val="2"/>
        </w:numPr>
        <w:spacing w:after="60"/>
      </w:pPr>
      <w:r>
        <w:t xml:space="preserve">The system can generate a risk classification.</w:t>
      </w:r>
    </w:p>
    <w:p>
      <w:pPr>
        <w:pStyle w:val="ListParagraph"/>
        <w:numPr>
          <w:ilvl w:val="0"/>
          <w:numId w:val="2"/>
        </w:numPr>
        <w:spacing w:after="60"/>
      </w:pPr>
      <w:r>
        <w:t xml:space="preserve">The user can view current/historical market information.</w:t>
      </w:r>
    </w:p>
    <w:p>
      <w:pPr>
        <w:pStyle w:val="ListParagraph"/>
        <w:numPr>
          <w:ilvl w:val="0"/>
          <w:numId w:val="2"/>
        </w:numPr>
        <w:spacing w:after="60"/>
      </w:pPr>
      <w:r>
        <w:t xml:space="preserve">The system can generate ML-based market predictions.</w:t>
      </w:r>
    </w:p>
    <w:p>
      <w:pPr>
        <w:pStyle w:val="ListParagraph"/>
        <w:numPr>
          <w:ilvl w:val="0"/>
          <w:numId w:val="2"/>
        </w:numPr>
        <w:spacing w:after="60"/>
      </w:pPr>
      <w:r>
        <w:t xml:space="preserve">The system can generate a personalized portfolio.</w:t>
      </w:r>
    </w:p>
    <w:p>
      <w:pPr>
        <w:pStyle w:val="ListParagraph"/>
        <w:numPr>
          <w:ilvl w:val="0"/>
          <w:numId w:val="2"/>
        </w:numPr>
        <w:spacing w:after="60"/>
      </w:pPr>
      <w:r>
        <w:t xml:space="preserve">The user can view expected return and risk.</w:t>
      </w:r>
    </w:p>
    <w:p>
      <w:pPr>
        <w:pStyle w:val="ListParagraph"/>
        <w:numPr>
          <w:ilvl w:val="0"/>
          <w:numId w:val="2"/>
        </w:numPr>
        <w:spacing w:after="60"/>
      </w:pPr>
      <w:r>
        <w:t xml:space="preserve">The user can understand why the portfolio was recommended.</w:t>
      </w:r>
    </w:p>
    <w:p>
      <w:pPr>
        <w:pStyle w:val="ListParagraph"/>
        <w:numPr>
          <w:ilvl w:val="0"/>
          <w:numId w:val="2"/>
        </w:numPr>
        <w:spacing w:after="60"/>
      </w:pPr>
      <w:r>
        <w:t xml:space="preserve">The user can view portfolio performance and/or backtest results.</w:t>
      </w:r>
    </w:p>
    <w:p>
      <w:pPr>
        <w:pStyle w:val="ListParagraph"/>
        <w:numPr>
          <w:ilvl w:val="0"/>
          <w:numId w:val="2"/>
        </w:numPr>
        <w:spacing w:after="60"/>
      </w:pPr>
      <w:r>
        <w:t xml:space="preserve">Required legal disclaimers are visible at registration and on every recommendation view (new).</w:t>
      </w:r>
    </w:p>
    <w:p>
      <w:pPr>
        <w:pStyle w:val="ListParagraph"/>
        <w:numPr>
          <w:ilvl w:val="0"/>
          <w:numId w:val="2"/>
        </w:numPr>
        <w:spacing w:after="60"/>
      </w:pPr>
      <w:r>
        <w:t xml:space="preserve">CI runs unit and integration tests on every pull request with a passing status required to merge (new).</w:t>
      </w:r>
    </w:p>
    <w:p>
      <w:pPr>
        <w:pStyle w:val="Heading1"/>
        <w:spacing w:after="200" w:before="400"/>
      </w:pPr>
      <w:r>
        <w:rPr>
          <w:b/>
          <w:bCs/>
          <w:color w:val="1F3864"/>
        </w:rPr>
        <w:t xml:space="preserve">24. Risks &amp; Mitigations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1400"/>
        <w:gridCol w:w="1300"/>
        <w:gridCol w:w="3750"/>
      </w:tblGrid>
      <w:tr>
        <w:trPr>
          <w:tblHeader/>
        </w:trPr>
        <w:tc>
          <w:tcPr>
            <w:tcW w:type="dxa" w:w="29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Risk</w:t>
            </w:r>
          </w:p>
        </w:tc>
        <w:tc>
          <w:tcPr>
            <w:tcW w:type="dxa" w:w="14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Likelihood</w:t>
            </w:r>
          </w:p>
        </w:tc>
        <w:tc>
          <w:tcPr>
            <w:tcW w:type="dxa" w:w="13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Impact</w:t>
            </w:r>
          </w:p>
        </w:tc>
        <w:tc>
          <w:tcPr>
            <w:tcW w:type="dxa" w:w="37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Mitigation</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Unofficial Yahoo Finance API changes or blocks requests</w:t>
            </w:r>
          </w:p>
        </w:tc>
        <w:tc>
          <w:tcPr>
            <w:tcW w:type="dxa" w:w="1400"/>
            <w:tcMar>
              <w:top w:type="dxa" w:w="80"/>
              <w:left w:type="dxa" w:w="100"/>
              <w:bottom w:type="dxa" w:w="80"/>
              <w:right w:type="dxa" w:w="100"/>
            </w:tcMar>
            <w:vAlign w:val="center"/>
          </w:tcPr>
          <w:p>
            <w:pPr>
              <w:spacing w:after="0"/>
              <w:jc w:val="left"/>
            </w:pPr>
            <w:r>
              <w:rPr>
                <w:b w:val="false"/>
                <w:bCs w:val="false"/>
                <w:color w:val="000000"/>
                <w:sz w:val="20"/>
                <w:szCs w:val="20"/>
              </w:rPr>
              <w:t xml:space="preserve">Medium</w:t>
            </w:r>
          </w:p>
        </w:tc>
        <w:tc>
          <w:tcPr>
            <w:tcW w:type="dxa" w:w="1300"/>
            <w:tcMar>
              <w:top w:type="dxa" w:w="80"/>
              <w:left w:type="dxa" w:w="100"/>
              <w:bottom w:type="dxa" w:w="80"/>
              <w:right w:type="dxa" w:w="100"/>
            </w:tcMar>
            <w:vAlign w:val="center"/>
          </w:tcPr>
          <w:p>
            <w:pPr>
              <w:spacing w:after="0"/>
              <w:jc w:val="left"/>
            </w:pPr>
            <w:r>
              <w:rPr>
                <w:b w:val="false"/>
                <w:bCs w:val="false"/>
                <w:color w:val="000000"/>
                <w:sz w:val="20"/>
                <w:szCs w:val="20"/>
              </w:rPr>
              <w:t xml:space="preserve">High</w:t>
            </w:r>
          </w:p>
        </w:tc>
        <w:tc>
          <w:tcPr>
            <w:tcW w:type="dxa" w:w="3750"/>
            <w:tcMar>
              <w:top w:type="dxa" w:w="80"/>
              <w:left w:type="dxa" w:w="100"/>
              <w:bottom w:type="dxa" w:w="80"/>
              <w:right w:type="dxa" w:w="100"/>
            </w:tcMar>
            <w:vAlign w:val="center"/>
          </w:tcPr>
          <w:p>
            <w:pPr>
              <w:spacing w:after="0"/>
              <w:jc w:val="left"/>
            </w:pPr>
            <w:r>
              <w:rPr>
                <w:b w:val="false"/>
                <w:bCs w:val="false"/>
                <w:color w:val="000000"/>
                <w:sz w:val="20"/>
                <w:szCs w:val="20"/>
              </w:rPr>
              <w:t xml:space="preserve">Data-provider abstraction (Section 7.3); fallback to a paid provider if needed.</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Model performance in production doesn't match offline evaluation (data leakage, overfitting)</w:t>
            </w:r>
          </w:p>
        </w:tc>
        <w:tc>
          <w:tcPr>
            <w:tcW w:type="dxa" w:w="14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Medium</w:t>
            </w:r>
          </w:p>
        </w:tc>
        <w:tc>
          <w:tcPr>
            <w:tcW w:type="dxa" w:w="13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High</w:t>
            </w:r>
          </w:p>
        </w:tc>
        <w:tc>
          <w:tcPr>
            <w:tcW w:type="dxa" w:w="3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Strict train/test time-based split; regression tests against a fixed evaluation set (Section 20); no promotion without beating baseline (Section 10.5).</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Regulatory exposure from personalized recommendations</w:t>
            </w:r>
          </w:p>
        </w:tc>
        <w:tc>
          <w:tcPr>
            <w:tcW w:type="dxa" w:w="1400"/>
            <w:tcMar>
              <w:top w:type="dxa" w:w="80"/>
              <w:left w:type="dxa" w:w="100"/>
              <w:bottom w:type="dxa" w:w="80"/>
              <w:right w:type="dxa" w:w="100"/>
            </w:tcMar>
            <w:vAlign w:val="center"/>
          </w:tcPr>
          <w:p>
            <w:pPr>
              <w:spacing w:after="0"/>
              <w:jc w:val="left"/>
            </w:pPr>
            <w:r>
              <w:rPr>
                <w:b w:val="false"/>
                <w:bCs w:val="false"/>
                <w:color w:val="000000"/>
                <w:sz w:val="20"/>
                <w:szCs w:val="20"/>
              </w:rPr>
              <w:t xml:space="preserve">Low–Medium</w:t>
            </w:r>
          </w:p>
        </w:tc>
        <w:tc>
          <w:tcPr>
            <w:tcW w:type="dxa" w:w="1300"/>
            <w:tcMar>
              <w:top w:type="dxa" w:w="80"/>
              <w:left w:type="dxa" w:w="100"/>
              <w:bottom w:type="dxa" w:w="80"/>
              <w:right w:type="dxa" w:w="100"/>
            </w:tcMar>
            <w:vAlign w:val="center"/>
          </w:tcPr>
          <w:p>
            <w:pPr>
              <w:spacing w:after="0"/>
              <w:jc w:val="left"/>
            </w:pPr>
            <w:r>
              <w:rPr>
                <w:b w:val="false"/>
                <w:bCs w:val="false"/>
                <w:color w:val="000000"/>
                <w:sz w:val="20"/>
                <w:szCs w:val="20"/>
              </w:rPr>
              <w:t xml:space="preserve">High</w:t>
            </w:r>
          </w:p>
        </w:tc>
        <w:tc>
          <w:tcPr>
            <w:tcW w:type="dxa" w:w="3750"/>
            <w:tcMar>
              <w:top w:type="dxa" w:w="80"/>
              <w:left w:type="dxa" w:w="100"/>
              <w:bottom w:type="dxa" w:w="80"/>
              <w:right w:type="dxa" w:w="100"/>
            </w:tcMar>
            <w:vAlign w:val="center"/>
          </w:tcPr>
          <w:p>
            <w:pPr>
              <w:spacing w:after="0"/>
              <w:jc w:val="left"/>
            </w:pPr>
            <w:r>
              <w:rPr>
                <w:b w:val="false"/>
                <w:bCs w:val="false"/>
                <w:color w:val="000000"/>
                <w:sz w:val="20"/>
                <w:szCs w:val="20"/>
              </w:rPr>
              <w:t xml:space="preserve">Educational-tool positioning, disclaimers, and legal review before any public launch (Section 17).</w:t>
            </w:r>
          </w:p>
        </w:tc>
      </w:tr>
      <w:tr>
        <w:tc>
          <w:tcPr>
            <w:tcW w:type="dxa" w:w="29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Single-developer bandwidth causes schedule slip</w:t>
            </w:r>
          </w:p>
        </w:tc>
        <w:tc>
          <w:tcPr>
            <w:tcW w:type="dxa" w:w="14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Medium</w:t>
            </w:r>
          </w:p>
        </w:tc>
        <w:tc>
          <w:tcPr>
            <w:tcW w:type="dxa" w:w="13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Medium</w:t>
            </w:r>
          </w:p>
        </w:tc>
        <w:tc>
          <w:tcPr>
            <w:tcW w:type="dxa" w:w="3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Prioritized MVP scope (Section 21) so Must-Have items ship even if Should/Could items slip.</w:t>
            </w:r>
          </w:p>
        </w:tc>
      </w:tr>
      <w:tr>
        <w:tc>
          <w:tcPr>
            <w:tcW w:type="dxa" w:w="2900"/>
            <w:tcMar>
              <w:top w:type="dxa" w:w="80"/>
              <w:left w:type="dxa" w:w="100"/>
              <w:bottom w:type="dxa" w:w="80"/>
              <w:right w:type="dxa" w:w="100"/>
            </w:tcMar>
            <w:vAlign w:val="center"/>
          </w:tcPr>
          <w:p>
            <w:pPr>
              <w:spacing w:after="0"/>
              <w:jc w:val="left"/>
            </w:pPr>
            <w:r>
              <w:rPr>
                <w:b w:val="false"/>
                <w:bCs w:val="false"/>
                <w:color w:val="000000"/>
                <w:sz w:val="20"/>
                <w:szCs w:val="20"/>
              </w:rPr>
              <w:t xml:space="preserve">Sensitive financial data exposure via logs or misconfigured access</w:t>
            </w:r>
          </w:p>
        </w:tc>
        <w:tc>
          <w:tcPr>
            <w:tcW w:type="dxa" w:w="1400"/>
            <w:tcMar>
              <w:top w:type="dxa" w:w="80"/>
              <w:left w:type="dxa" w:w="100"/>
              <w:bottom w:type="dxa" w:w="80"/>
              <w:right w:type="dxa" w:w="100"/>
            </w:tcMar>
            <w:vAlign w:val="center"/>
          </w:tcPr>
          <w:p>
            <w:pPr>
              <w:spacing w:after="0"/>
              <w:jc w:val="left"/>
            </w:pPr>
            <w:r>
              <w:rPr>
                <w:b w:val="false"/>
                <w:bCs w:val="false"/>
                <w:color w:val="000000"/>
                <w:sz w:val="20"/>
                <w:szCs w:val="20"/>
              </w:rPr>
              <w:t xml:space="preserve">Low</w:t>
            </w:r>
          </w:p>
        </w:tc>
        <w:tc>
          <w:tcPr>
            <w:tcW w:type="dxa" w:w="1300"/>
            <w:tcMar>
              <w:top w:type="dxa" w:w="80"/>
              <w:left w:type="dxa" w:w="100"/>
              <w:bottom w:type="dxa" w:w="80"/>
              <w:right w:type="dxa" w:w="100"/>
            </w:tcMar>
            <w:vAlign w:val="center"/>
          </w:tcPr>
          <w:p>
            <w:pPr>
              <w:spacing w:after="0"/>
              <w:jc w:val="left"/>
            </w:pPr>
            <w:r>
              <w:rPr>
                <w:b w:val="false"/>
                <w:bCs w:val="false"/>
                <w:color w:val="000000"/>
                <w:sz w:val="20"/>
                <w:szCs w:val="20"/>
              </w:rPr>
              <w:t xml:space="preserve">High</w:t>
            </w:r>
          </w:p>
        </w:tc>
        <w:tc>
          <w:tcPr>
            <w:tcW w:type="dxa" w:w="3750"/>
            <w:tcMar>
              <w:top w:type="dxa" w:w="80"/>
              <w:left w:type="dxa" w:w="100"/>
              <w:bottom w:type="dxa" w:w="80"/>
              <w:right w:type="dxa" w:w="100"/>
            </w:tcMar>
            <w:vAlign w:val="center"/>
          </w:tcPr>
          <w:p>
            <w:pPr>
              <w:spacing w:after="0"/>
              <w:jc w:val="left"/>
            </w:pPr>
            <w:r>
              <w:rPr>
                <w:b w:val="false"/>
                <w:bCs w:val="false"/>
                <w:color w:val="000000"/>
                <w:sz w:val="20"/>
                <w:szCs w:val="20"/>
              </w:rPr>
              <w:t xml:space="preserve">No PII/financial fields in logs; access-control tests included in Section 20.</w:t>
            </w:r>
          </w:p>
        </w:tc>
      </w:tr>
    </w:tbl>
    <w:p>
      <w:r>
        <w:br w:type="page"/>
      </w:r>
    </w:p>
    <w:p>
      <w:pPr>
        <w:pStyle w:val="Heading1"/>
        <w:spacing w:after="200" w:before="400"/>
      </w:pPr>
      <w:r>
        <w:rPr>
          <w:b/>
          <w:bCs/>
          <w:color w:val="1F3864"/>
        </w:rPr>
        <w:t xml:space="preserve">25. Final Product Architecture</w:t>
      </w:r>
    </w:p>
    <w:p>
      <w:pPr>
        <w:spacing w:after="120"/>
      </w:pPr>
      <w:r>
        <w:t xml:space="preserve">USER DATA → Risk Assessment → Risk Profile</w:t>
      </w:r>
    </w:p>
    <w:p>
      <w:pPr>
        <w:spacing w:after="120"/>
      </w:pPr>
      <w:r>
        <w:t xml:space="preserve">MARKET DATA → Data Processing → Feature Engineering → XGBoost</w:t>
      </w:r>
    </w:p>
    <w:p>
      <w:pPr>
        <w:spacing w:after="120"/>
      </w:pPr>
      <w:r>
        <w:t xml:space="preserve">Risk Profile + Market Prediction → Recommendation Engine → Portfolio Optimizer</w:t>
      </w:r>
    </w:p>
    <w:p>
      <w:pPr>
        <w:spacing w:after="120"/>
      </w:pPr>
      <w:r>
        <w:t xml:space="preserve">Portfolio Optimizer → Explainability + Fairness → React Dashboard</w:t>
      </w:r>
    </w:p>
    <w:p>
      <w:pPr>
        <w:pStyle w:val="Heading1"/>
        <w:spacing w:after="200" w:before="400"/>
      </w:pPr>
      <w:r>
        <w:rPr>
          <w:b/>
          <w:bCs/>
          <w:color w:val="1F3864"/>
        </w:rPr>
        <w:t xml:space="preserve">26. Glossary</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50"/>
      </w:tblGrid>
      <w:tr>
        <w:trPr>
          <w:tblHeader/>
        </w:trPr>
        <w:tc>
          <w:tcPr>
            <w:tcW w:type="dxa" w:w="260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Term</w:t>
            </w:r>
          </w:p>
        </w:tc>
        <w:tc>
          <w:tcPr>
            <w:tcW w:type="dxa" w:w="6750"/>
            <w:shd w:fill="1F3864" w:color="auto" w:val="clear"/>
            <w:tcMar>
              <w:top w:type="dxa" w:w="80"/>
              <w:left w:type="dxa" w:w="100"/>
              <w:bottom w:type="dxa" w:w="80"/>
              <w:right w:type="dxa" w:w="100"/>
            </w:tcMar>
            <w:vAlign w:val="center"/>
          </w:tcPr>
          <w:p>
            <w:pPr>
              <w:spacing w:after="0"/>
              <w:jc w:val="left"/>
            </w:pPr>
            <w:r>
              <w:rPr>
                <w:b/>
                <w:bCs/>
                <w:color w:val="FFFFFF"/>
                <w:sz w:val="20"/>
                <w:szCs w:val="20"/>
              </w:rPr>
              <w:t xml:space="preserve">Definition</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OHLCV</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Open, High, Low, Close, Volume — standard fields for a market data record.</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SHAP / LIME</w:t>
            </w:r>
          </w:p>
        </w:tc>
        <w:tc>
          <w:tcPr>
            <w:tcW w:type="dxa" w:w="6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Model-agnostic explainability techniques that attribute a prediction to its contributing input features.</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Sharpe Ratio</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Risk-adjusted return metric: excess return per unit of volatility.</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Maximum Drawdown</w:t>
            </w:r>
          </w:p>
        </w:tc>
        <w:tc>
          <w:tcPr>
            <w:tcW w:type="dxa" w:w="6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The largest peak-to-trough decline in portfolio value over a given period.</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Model Drift</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Degradation in model accuracy over time as real-world data diverges from training data.</w:t>
            </w:r>
          </w:p>
        </w:tc>
      </w:tr>
      <w:tr>
        <w:tc>
          <w:tcPr>
            <w:tcW w:type="dxa" w:w="260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Precision@K / Recall@K / NDCG</w:t>
            </w:r>
          </w:p>
        </w:tc>
        <w:tc>
          <w:tcPr>
            <w:tcW w:type="dxa" w:w="6750"/>
            <w:shd w:fill="F5F8FC" w:color="auto"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Ranking-quality metrics for recommendation systems, measured over the top-K recommended items.</w:t>
            </w:r>
          </w:p>
        </w:tc>
      </w:tr>
      <w:tr>
        <w:tc>
          <w:tcPr>
            <w:tcW w:type="dxa" w:w="2600"/>
            <w:tcMar>
              <w:top w:type="dxa" w:w="80"/>
              <w:left w:type="dxa" w:w="100"/>
              <w:bottom w:type="dxa" w:w="80"/>
              <w:right w:type="dxa" w:w="100"/>
            </w:tcMar>
            <w:vAlign w:val="center"/>
          </w:tcPr>
          <w:p>
            <w:pPr>
              <w:spacing w:after="0"/>
              <w:jc w:val="left"/>
            </w:pPr>
            <w:r>
              <w:rPr>
                <w:b w:val="false"/>
                <w:bCs w:val="false"/>
                <w:color w:val="000000"/>
                <w:sz w:val="20"/>
                <w:szCs w:val="20"/>
              </w:rPr>
              <w:t xml:space="preserve">Disparate Impact Ratio</w:t>
            </w:r>
          </w:p>
        </w:tc>
        <w:tc>
          <w:tcPr>
            <w:tcW w:type="dxa" w:w="6750"/>
            <w:tcMar>
              <w:top w:type="dxa" w:w="80"/>
              <w:left w:type="dxa" w:w="100"/>
              <w:bottom w:type="dxa" w:w="80"/>
              <w:right w:type="dxa" w:w="100"/>
            </w:tcMar>
            <w:vAlign w:val="center"/>
          </w:tcPr>
          <w:p>
            <w:pPr>
              <w:spacing w:after="0"/>
              <w:jc w:val="left"/>
            </w:pPr>
            <w:r>
              <w:rPr>
                <w:b w:val="false"/>
                <w:bCs w:val="false"/>
                <w:color w:val="000000"/>
                <w:sz w:val="20"/>
                <w:szCs w:val="20"/>
              </w:rPr>
              <w:t xml:space="preserve">A fairness metric comparing outcome rates between groups to detect unequal treatment.</w:t>
            </w:r>
          </w:p>
        </w:tc>
      </w:tr>
    </w:tbl>
    <w:p>
      <w:pPr>
        <w:pStyle w:val="Heading1"/>
        <w:spacing w:after="200" w:before="400"/>
      </w:pPr>
      <w:r>
        <w:rPr>
          <w:b/>
          <w:bCs/>
          <w:color w:val="1F3864"/>
        </w:rPr>
        <w:t xml:space="preserve">27. Open Questions / Appendix</w:t>
      </w:r>
    </w:p>
    <w:p>
      <w:pPr>
        <w:spacing w:after="120"/>
      </w:pPr>
      <w:r>
        <w:t xml:space="preserve">Items intentionally left open for the team to resolve during early implementation rather than guessed at in this document:</w:t>
      </w:r>
    </w:p>
    <w:p>
      <w:pPr>
        <w:pStyle w:val="ListParagraph"/>
        <w:numPr>
          <w:ilvl w:val="0"/>
          <w:numId w:val="2"/>
        </w:numPr>
        <w:spacing w:after="60"/>
      </w:pPr>
      <w:r>
        <w:t xml:space="preserve">Exact prediction horizon and target variable for the market-prediction model (Section 9, FR-08) — to be finalized during experimentation.</w:t>
      </w:r>
    </w:p>
    <w:p>
      <w:pPr>
        <w:pStyle w:val="ListParagraph"/>
        <w:numPr>
          <w:ilvl w:val="0"/>
          <w:numId w:val="2"/>
        </w:numPr>
        <w:spacing w:after="60"/>
      </w:pPr>
      <w:r>
        <w:t xml:space="preserve">Final list of the initial supported asset universe (which symbols/asset classes ship in the MVP).</w:t>
      </w:r>
    </w:p>
    <w:p>
      <w:pPr>
        <w:pStyle w:val="ListParagraph"/>
        <w:numPr>
          <w:ilvl w:val="0"/>
          <w:numId w:val="2"/>
        </w:numPr>
        <w:spacing w:after="60"/>
      </w:pPr>
      <w:r>
        <w:t xml:space="preserve">Whether financial-profile encryption at rest is handled at the application layer or delegated to the hosting provider's disk encryption.</w:t>
      </w:r>
    </w:p>
    <w:p>
      <w:pPr>
        <w:pStyle w:val="ListParagraph"/>
        <w:numPr>
          <w:ilvl w:val="0"/>
          <w:numId w:val="2"/>
        </w:numPr>
        <w:spacing w:after="60"/>
      </w:pPr>
      <w:r>
        <w:t xml:space="preserve">Legal jurisdiction(s) the disclaimers in Section 17 need to be reviewed against, if the project moves beyond an academic/portfolio context.</w:t>
      </w:r>
    </w:p>
    <w:p>
      <w:r>
        <w:br w:type="page"/>
      </w:r>
    </w:p>
    <w:p>
      <w:pPr>
        <w:pStyle w:val="Heading1"/>
        <w:spacing w:after="200" w:before="400"/>
      </w:pPr>
      <w:r>
        <w:rPr>
          <w:b/>
          <w:bCs/>
          <w:color w:val="1F3864"/>
        </w:rPr>
        <w:t xml:space="preserve">28. Product Summary</w:t>
      </w:r>
    </w:p>
    <w:p>
      <w:pPr>
        <w:spacing w:after="200"/>
      </w:pPr>
      <w:r>
        <w:rPr>
          <w:b/>
          <w:bCs/>
        </w:rPr>
        <w:t xml:space="preserve">WealthPilotX analyzes an investor's financial profile alongside market and economic data, predicts market trends, assesses risk, optimizes a diversified portfolio, and explains the reasoning behind its recommendations through an interactive dashboard — positioned as an educational and research decision-support tool, not a licensed advisory service.</w:t>
      </w:r>
    </w:p>
    <w:p>
      <w:pPr>
        <w:spacing w:after="120"/>
      </w:pPr>
      <w:r>
        <w:rPr>
          <w:i/>
          <w:iCs/>
          <w:color w:val="595959"/>
        </w:rPr>
        <w:t xml:space="preserve">Source basis: WealthPilotX / AI-Driven Wealth Management System report provided with this project, expanded for engineering readiness in Version 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WealthPilotX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2026-08-28T04:36:57.759Z</dcterms:created>
  <dcterms:modified xsi:type="dcterms:W3CDTF">2026-08-28T04:36:57.759Z</dcterms:modified>
</cp:coreProperties>
</file>

<file path=docProps/custom.xml><?xml version="1.0" encoding="utf-8"?>
<Properties xmlns="http://schemas.openxmlformats.org/officeDocument/2006/custom-properties" xmlns:vt="http://schemas.openxmlformats.org/officeDocument/2006/docPropsVTypes"/>
</file>