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Definition: Air Quality Analysis and Prediction in Tamil Nadu</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Background: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Tamil Nadu, a popular state in southern India, is facing increasing challenges related to air quality. Urbanization, industrialization, vehicular emissions, and other anthropogenic activities have led to deteriorating air quality, posing serious health risks to its residents. To address this issue, there is a need for a comprehensive Air Quality Analysis and Prediction system tailored to the unique environmental and climatic conditions of Tamil Nadu.</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problem at hand is to develop an effective and accurate Air Quality Analysis and Prediction system for Tamil Nadu that can assess, monitor, and forecast air quality levels across various regions within the state. This system aims to provide valuable insights and actionable information to mitigate the adverse effects of poor air quality on public health and the environment.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Objectives:</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Collection and Integration:</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Gather and integrate comprehensive air quality data from multiple sources, including ground-based monitoring stations, satellite data, meteorological information, and industrial emissions data.</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6"/>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Spatial and Temporal Analysis:</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Analyze the spatial and temporal variation of air pollutants (e.g., PM2.5, PM10, NO2, SO2, O3) across different regions of Tamil Nadu. Identify pollution hotspots and temporal trends.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Health Impact Assessment:</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Quantify the health risks associated with varying air quality levels, especially for vulnerable populations such as children, the elderly, and individuals with pre-existing health conditions.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Predictive Modelling:</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predictive models using machine learning and statistical techniques to forecast air quality levels for short-term (daily and weekly) and long-term (monthly and yearly) horizons.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Real-time Monitoring:</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a real-time air quality monitoring system that provides up-to-date information to the public and relevant authorities.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Early Warning System:</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 early warning system to alert residents and authorities about potential air quality deterioration events or pollution spikes.</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Policy Recommendations:</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recommendations for policy interventions and pollution control measures based on data analysis and predictions to improve air quality in the region.</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Public Awareness and Education:</w:t>
      </w:r>
      <w:r>
        <w:rPr>
          <w:rFonts w:ascii="Calibri" w:hAnsi="Calibri" w:cs="Calibri" w:eastAsia="Calibri"/>
          <w:color w:val="auto"/>
          <w:spacing w:val="0"/>
          <w:position w:val="0"/>
          <w:sz w:val="28"/>
          <w:shd w:fill="auto" w:val="clear"/>
        </w:rPr>
        <w:t xml:space="preserve"> </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awareness campaigns and educational materials to inform the public about the importance of air quality and actions they can take to reduce their exposure to pollutants.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Requirements:</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Historical air quality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Meteorological data (temperature, humidity, wind speed, wind direction)</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Industrial emissions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Satellite imagery and remote sensing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Health records and epidemiological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Geographic and demographic data</w:t>
      </w:r>
    </w:p>
    <w:p>
      <w:pPr>
        <w:numPr>
          <w:ilvl w:val="0"/>
          <w:numId w:val="2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Traffic and transportation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Deliverables: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comprehensive air quality database for Tamil Nadu.</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Spatial and temporal air quality analysis reports.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Predictive models and real-time air quality forecasting.</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Public-facing air quality monitoring website or mobile app.</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Early warning system.</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Policy recommendations and guidelines.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awareness campaigns and educational materials.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Success Criteria: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success of the Air Quality Analysis and Prediction system for Tamil Nadu will be measured by: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Significant improvements in air quality across regions.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Reduction in the incidence of air quality-related health issues.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Timely responses to air quality deterioration events.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Increased public awareness and engagement in air quality improvement initiatives.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Adoption of recommended policy interventions by relevant authorities.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Stakeholders:</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Tamil Nadu Pollution Control Board (TNPCB)</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Tamil Nadu Health Department</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Environmental NGOs and advocacy groups</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Researchers and scientists</w:t>
      </w:r>
    </w:p>
    <w:p>
      <w:pPr>
        <w:numPr>
          <w:ilvl w:val="0"/>
          <w:numId w:val="31"/>
        </w:num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Local governments and municipalities</w:t>
      </w:r>
    </w:p>
    <w:p>
      <w:pPr>
        <w:numPr>
          <w:ilvl w:val="0"/>
          <w:numId w:val="31"/>
        </w:numPr>
        <w:tabs>
          <w:tab w:val="left" w:pos="284" w:leader="none"/>
        </w:tabs>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color w:val="auto"/>
          <w:spacing w:val="0"/>
          <w:position w:val="0"/>
          <w:sz w:val="28"/>
          <w:shd w:fill="auto" w:val="clear"/>
        </w:rPr>
        <w:t xml:space="preserve">Residents and citizens of Tamil Nadu</w:t>
      </w:r>
    </w:p>
    <w:p>
      <w:pPr>
        <w:tabs>
          <w:tab w:val="left" w:pos="284" w:leader="none"/>
        </w:tabs>
        <w:spacing w:before="0" w:after="200" w:line="276"/>
        <w:ind w:right="0" w:left="0" w:firstLine="0"/>
        <w:jc w:val="left"/>
        <w:rPr>
          <w:rFonts w:ascii="Calibri" w:hAnsi="Calibri" w:cs="Calibri" w:eastAsia="Calibri"/>
          <w:color w:val="auto"/>
          <w:spacing w:val="0"/>
          <w:position w:val="0"/>
          <w:sz w:val="28"/>
          <w:shd w:fill="auto" w:val="clear"/>
        </w:rPr>
      </w:pPr>
    </w:p>
    <w:p>
      <w:pPr>
        <w:tabs>
          <w:tab w:val="left" w:pos="284" w:leader="none"/>
        </w:tabs>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Done by:</w:t>
      </w:r>
    </w:p>
    <w:p>
      <w:pPr>
        <w:tabs>
          <w:tab w:val="left" w:pos="284"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Ravivarman.M</w:t>
      </w:r>
    </w:p>
    <w:p>
      <w:pPr>
        <w:tabs>
          <w:tab w:val="left" w:pos="284"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720921244044</w:t>
      </w:r>
    </w:p>
    <w:p>
      <w:pPr>
        <w:tabs>
          <w:tab w:val="left" w:pos="284"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JCT College of Engineering and Technology</w:t>
      </w:r>
    </w:p>
    <w:p>
      <w:pPr>
        <w:tabs>
          <w:tab w:val="left" w:pos="284" w:leader="none"/>
        </w:tabs>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9">
    <w:abstractNumId w:val="48"/>
  </w:num>
  <w:num w:numId="12">
    <w:abstractNumId w:val="42"/>
  </w:num>
  <w:num w:numId="15">
    <w:abstractNumId w:val="36"/>
  </w:num>
  <w:num w:numId="18">
    <w:abstractNumId w:val="30"/>
  </w:num>
  <w:num w:numId="21">
    <w:abstractNumId w:val="24"/>
  </w:num>
  <w:num w:numId="24">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